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4D815290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E86AF9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E86AF9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4E4748" w14:paraId="16FF5A00" w14:textId="77777777" w:rsidTr="00E86AF9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762759" w14:paraId="4256482F" w14:textId="77777777" w:rsidTr="00E86AF9">
        <w:tc>
          <w:tcPr>
            <w:tcW w:w="945" w:type="dxa"/>
            <w:shd w:val="clear" w:color="FFFFFF" w:fill="auto"/>
            <w:vAlign w:val="bottom"/>
          </w:tcPr>
          <w:p w14:paraId="69477C0A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66E8CC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1CC0BD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1AB68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7DA1949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508EC1A" w14:textId="02D67D3A" w:rsidR="00762759" w:rsidRDefault="00762759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СРО (</w:t>
            </w:r>
            <w:r w:rsidRPr="00D7229D">
              <w:rPr>
                <w:rFonts w:ascii="Times New Roman" w:hAnsi="Times New Roman"/>
                <w:sz w:val="18"/>
                <w:szCs w:val="18"/>
              </w:rPr>
              <w:t>если состоите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3301A28F" w:rsidR="004E4748" w:rsidRPr="000321A1" w:rsidRDefault="00185AC6" w:rsidP="00E86AF9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С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овет» на  дополнительную профессиональную программу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повышения квалификации 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783964">
              <w:rPr>
                <w:rFonts w:ascii="Times New Roman" w:hAnsi="Times New Roman"/>
                <w:i/>
                <w:iCs/>
                <w:sz w:val="20"/>
                <w:szCs w:val="20"/>
              </w:rPr>
              <w:t>Финансово-экономическая экспертиза в банкротстве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16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а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кадемических часов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заочной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форме обучения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357F4">
              <w:rPr>
                <w:rFonts w:ascii="Times New Roman" w:hAnsi="Times New Roman"/>
                <w:i/>
                <w:iCs/>
                <w:sz w:val="20"/>
                <w:szCs w:val="20"/>
              </w:rPr>
              <w:t>с применением дистанционных образовательных технологий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с </w:t>
            </w:r>
            <w:r w:rsidR="00CF01B1">
              <w:rPr>
                <w:rFonts w:ascii="Times New Roman" w:hAnsi="Times New Roman"/>
                <w:i/>
                <w:iCs/>
                <w:sz w:val="20"/>
                <w:szCs w:val="20"/>
              </w:rPr>
              <w:t>28.10.2025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 </w:t>
            </w:r>
            <w:r w:rsidR="00CF01B1">
              <w:rPr>
                <w:rFonts w:ascii="Times New Roman" w:hAnsi="Times New Roman"/>
                <w:i/>
                <w:iCs/>
                <w:sz w:val="20"/>
                <w:szCs w:val="20"/>
              </w:rPr>
              <w:t>07.11.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2025г.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7869B72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C48F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85AC6"/>
    <w:rsid w:val="0021726F"/>
    <w:rsid w:val="002A6F16"/>
    <w:rsid w:val="003A6401"/>
    <w:rsid w:val="003F389F"/>
    <w:rsid w:val="004C48F0"/>
    <w:rsid w:val="004E4748"/>
    <w:rsid w:val="004F04CB"/>
    <w:rsid w:val="0050789E"/>
    <w:rsid w:val="005C508B"/>
    <w:rsid w:val="006963B2"/>
    <w:rsid w:val="0072290E"/>
    <w:rsid w:val="00762759"/>
    <w:rsid w:val="007739AD"/>
    <w:rsid w:val="007A247C"/>
    <w:rsid w:val="00880635"/>
    <w:rsid w:val="008D1C50"/>
    <w:rsid w:val="00914823"/>
    <w:rsid w:val="0095666D"/>
    <w:rsid w:val="00984214"/>
    <w:rsid w:val="00A251A9"/>
    <w:rsid w:val="00A50C2F"/>
    <w:rsid w:val="00BC2085"/>
    <w:rsid w:val="00C30E01"/>
    <w:rsid w:val="00C67E3E"/>
    <w:rsid w:val="00CB775B"/>
    <w:rsid w:val="00CE0DED"/>
    <w:rsid w:val="00CF01B1"/>
    <w:rsid w:val="00E50D7E"/>
    <w:rsid w:val="00E86AF9"/>
    <w:rsid w:val="00E945CB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4</cp:revision>
  <dcterms:created xsi:type="dcterms:W3CDTF">2025-08-08T08:28:00Z</dcterms:created>
  <dcterms:modified xsi:type="dcterms:W3CDTF">2025-09-22T10:33:00Z</dcterms:modified>
</cp:coreProperties>
</file>