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02646" w14:textId="77777777" w:rsidR="00A26E61" w:rsidRPr="005B5296" w:rsidRDefault="00A26E61" w:rsidP="00A26E61">
      <w:pPr>
        <w:tabs>
          <w:tab w:val="left" w:pos="0"/>
          <w:tab w:val="left" w:pos="1134"/>
        </w:tabs>
        <w:spacing w:after="0" w:line="276" w:lineRule="auto"/>
        <w:jc w:val="right"/>
        <w:rPr>
          <w:rFonts w:cstheme="minorHAnsi"/>
          <w:i/>
          <w:iCs/>
          <w:sz w:val="24"/>
          <w:szCs w:val="24"/>
        </w:rPr>
      </w:pPr>
      <w:r w:rsidRPr="005B5296">
        <w:rPr>
          <w:rFonts w:cstheme="minorHAnsi"/>
          <w:i/>
          <w:iCs/>
          <w:sz w:val="24"/>
          <w:szCs w:val="24"/>
        </w:rPr>
        <w:t>Приложение</w:t>
      </w:r>
      <w:r>
        <w:rPr>
          <w:rFonts w:cstheme="minorHAnsi"/>
          <w:i/>
          <w:iCs/>
          <w:sz w:val="24"/>
          <w:szCs w:val="24"/>
        </w:rPr>
        <w:t xml:space="preserve"> </w:t>
      </w:r>
    </w:p>
    <w:p w14:paraId="04D912B1" w14:textId="77777777" w:rsidR="00A26E61" w:rsidRPr="00227243" w:rsidRDefault="00A26E61" w:rsidP="00A26E61">
      <w:pPr>
        <w:tabs>
          <w:tab w:val="left" w:pos="0"/>
          <w:tab w:val="left" w:pos="1134"/>
        </w:tabs>
        <w:spacing w:after="120" w:line="276" w:lineRule="auto"/>
        <w:jc w:val="center"/>
        <w:rPr>
          <w:rFonts w:cstheme="minorHAnsi"/>
          <w:b/>
          <w:sz w:val="24"/>
          <w:szCs w:val="24"/>
        </w:rPr>
      </w:pPr>
      <w:r w:rsidRPr="00227243">
        <w:rPr>
          <w:b/>
          <w:sz w:val="24"/>
          <w:szCs w:val="24"/>
        </w:rPr>
        <w:t>Особенности учета отдельных элементов ОНА / ОНО</w:t>
      </w:r>
    </w:p>
    <w:tbl>
      <w:tblPr>
        <w:tblStyle w:val="a8"/>
        <w:tblW w:w="0" w:type="auto"/>
        <w:tblLook w:val="04A0" w:firstRow="1" w:lastRow="0" w:firstColumn="1" w:lastColumn="0" w:noHBand="0" w:noVBand="1"/>
      </w:tblPr>
      <w:tblGrid>
        <w:gridCol w:w="1658"/>
        <w:gridCol w:w="12902"/>
      </w:tblGrid>
      <w:tr w:rsidR="00A26E61" w:rsidRPr="00227243" w14:paraId="557A2BA9" w14:textId="77777777" w:rsidTr="00CD0C4B">
        <w:trPr>
          <w:tblHeader/>
        </w:trPr>
        <w:tc>
          <w:tcPr>
            <w:tcW w:w="1665" w:type="dxa"/>
            <w:shd w:val="clear" w:color="auto" w:fill="D9D9D9" w:themeFill="background1" w:themeFillShade="D9"/>
            <w:vAlign w:val="center"/>
          </w:tcPr>
          <w:p w14:paraId="16AEB9D0" w14:textId="77777777" w:rsidR="00A26E61" w:rsidRPr="00227243" w:rsidRDefault="00A26E61" w:rsidP="00CD0C4B">
            <w:pPr>
              <w:tabs>
                <w:tab w:val="left" w:pos="0"/>
                <w:tab w:val="left" w:pos="1134"/>
              </w:tabs>
              <w:jc w:val="center"/>
              <w:rPr>
                <w:rFonts w:cstheme="minorHAnsi"/>
                <w:b/>
                <w:bCs/>
                <w:sz w:val="20"/>
                <w:szCs w:val="20"/>
              </w:rPr>
            </w:pPr>
            <w:r w:rsidRPr="00227243">
              <w:rPr>
                <w:rFonts w:cstheme="minorHAnsi"/>
                <w:b/>
                <w:bCs/>
                <w:sz w:val="20"/>
                <w:szCs w:val="20"/>
              </w:rPr>
              <w:t xml:space="preserve">Вид ОНА </w:t>
            </w:r>
            <w:r w:rsidRPr="00227243">
              <w:rPr>
                <w:rFonts w:cstheme="minorHAnsi"/>
                <w:b/>
                <w:bCs/>
                <w:sz w:val="20"/>
                <w:szCs w:val="20"/>
                <w:lang w:val="en-US"/>
              </w:rPr>
              <w:t xml:space="preserve">/ </w:t>
            </w:r>
            <w:r w:rsidRPr="00227243">
              <w:rPr>
                <w:rFonts w:cstheme="minorHAnsi"/>
                <w:b/>
                <w:bCs/>
                <w:sz w:val="20"/>
                <w:szCs w:val="20"/>
              </w:rPr>
              <w:t>ОНО</w:t>
            </w:r>
          </w:p>
        </w:tc>
        <w:tc>
          <w:tcPr>
            <w:tcW w:w="13461" w:type="dxa"/>
            <w:shd w:val="clear" w:color="auto" w:fill="D9D9D9" w:themeFill="background1" w:themeFillShade="D9"/>
            <w:vAlign w:val="center"/>
          </w:tcPr>
          <w:p w14:paraId="481B2C2A" w14:textId="77777777" w:rsidR="00A26E61" w:rsidRPr="00227243" w:rsidRDefault="00A26E61" w:rsidP="00CD0C4B">
            <w:pPr>
              <w:tabs>
                <w:tab w:val="left" w:pos="0"/>
                <w:tab w:val="left" w:pos="1134"/>
              </w:tabs>
              <w:jc w:val="center"/>
              <w:rPr>
                <w:rFonts w:cstheme="minorHAnsi"/>
                <w:b/>
                <w:bCs/>
                <w:sz w:val="20"/>
                <w:szCs w:val="20"/>
              </w:rPr>
            </w:pPr>
            <w:r w:rsidRPr="00227243">
              <w:rPr>
                <w:rFonts w:cstheme="minorHAnsi"/>
                <w:b/>
                <w:bCs/>
                <w:sz w:val="20"/>
                <w:szCs w:val="20"/>
              </w:rPr>
              <w:t>Комментарий</w:t>
            </w:r>
          </w:p>
        </w:tc>
      </w:tr>
      <w:tr w:rsidR="00A26E61" w:rsidRPr="00227243" w14:paraId="680BCEF5" w14:textId="77777777" w:rsidTr="00CD0C4B">
        <w:tc>
          <w:tcPr>
            <w:tcW w:w="1665" w:type="dxa"/>
          </w:tcPr>
          <w:p w14:paraId="4AE9DB85" w14:textId="77777777" w:rsidR="00A26E61" w:rsidRPr="00227243" w:rsidRDefault="00A26E61" w:rsidP="00CD0C4B">
            <w:pPr>
              <w:tabs>
                <w:tab w:val="left" w:pos="0"/>
                <w:tab w:val="left" w:pos="1134"/>
              </w:tabs>
              <w:jc w:val="center"/>
              <w:rPr>
                <w:rFonts w:cstheme="minorHAnsi"/>
                <w:b/>
                <w:sz w:val="20"/>
                <w:szCs w:val="20"/>
              </w:rPr>
            </w:pPr>
            <w:r w:rsidRPr="00227243">
              <w:rPr>
                <w:rFonts w:cstheme="minorHAnsi"/>
                <w:b/>
                <w:sz w:val="20"/>
                <w:szCs w:val="20"/>
              </w:rPr>
              <w:t>ОНА</w:t>
            </w:r>
          </w:p>
          <w:p w14:paraId="08975117" w14:textId="77777777" w:rsidR="00A26E61" w:rsidRPr="00227243" w:rsidRDefault="00A26E61" w:rsidP="00CD0C4B">
            <w:pPr>
              <w:tabs>
                <w:tab w:val="left" w:pos="0"/>
                <w:tab w:val="left" w:pos="1134"/>
              </w:tabs>
              <w:jc w:val="center"/>
              <w:rPr>
                <w:rFonts w:cstheme="minorHAnsi"/>
                <w:sz w:val="20"/>
                <w:szCs w:val="20"/>
              </w:rPr>
            </w:pPr>
            <w:r w:rsidRPr="00227243">
              <w:rPr>
                <w:rFonts w:cstheme="minorHAnsi"/>
                <w:b/>
                <w:sz w:val="20"/>
                <w:szCs w:val="20"/>
              </w:rPr>
              <w:t>по убыткам прошлых лет</w:t>
            </w:r>
          </w:p>
        </w:tc>
        <w:tc>
          <w:tcPr>
            <w:tcW w:w="13461" w:type="dxa"/>
          </w:tcPr>
          <w:p w14:paraId="300E95AE" w14:textId="77777777" w:rsidR="00A26E61" w:rsidRPr="00227243" w:rsidRDefault="00A26E61" w:rsidP="00CD0C4B">
            <w:pPr>
              <w:tabs>
                <w:tab w:val="left" w:pos="0"/>
              </w:tabs>
              <w:jc w:val="both"/>
              <w:rPr>
                <w:sz w:val="20"/>
                <w:szCs w:val="20"/>
              </w:rPr>
            </w:pPr>
            <w:r w:rsidRPr="00227243">
              <w:rPr>
                <w:sz w:val="20"/>
                <w:szCs w:val="20"/>
              </w:rPr>
              <w:t>Оценка сводится к прогнозу налогооблагаемой прибыли оцениваемого Предприятия. Налог на прибыль может быть связан: с текущей, новой прогнозируемой деятельностью, с прибылью от реализации активов при ликвидации Предприятия.</w:t>
            </w:r>
          </w:p>
          <w:p w14:paraId="3A910223" w14:textId="77777777" w:rsidR="00A26E61" w:rsidRPr="00227243" w:rsidRDefault="00A26E61" w:rsidP="00CD0C4B">
            <w:pPr>
              <w:tabs>
                <w:tab w:val="left" w:pos="0"/>
              </w:tabs>
              <w:jc w:val="both"/>
              <w:rPr>
                <w:rFonts w:cstheme="minorHAnsi"/>
                <w:sz w:val="20"/>
                <w:szCs w:val="20"/>
              </w:rPr>
            </w:pPr>
            <w:r w:rsidRPr="00227243">
              <w:rPr>
                <w:sz w:val="20"/>
                <w:szCs w:val="20"/>
              </w:rPr>
              <w:t>ОНА может быть использован полностью или частично с учетом ограничений, установленных п. 2.1 ст. 283 НК РФ: «В отчетные (налоговые) периоды с 01.01.2017 по 31.12.2024 налоговая база по налогу за текущий отчетный (налоговый) период, …, не может быть уменьшена на сумму убытков, полученных в предыдущих налоговых периодах, более чем на 50%»</w:t>
            </w:r>
            <w:r w:rsidRPr="00227243">
              <w:rPr>
                <w:rStyle w:val="a7"/>
                <w:sz w:val="20"/>
                <w:szCs w:val="20"/>
              </w:rPr>
              <w:footnoteReference w:id="1"/>
            </w:r>
            <w:r w:rsidRPr="00227243">
              <w:rPr>
                <w:sz w:val="20"/>
                <w:szCs w:val="20"/>
              </w:rPr>
              <w:t>. Оставшаяся часть может быть использована в последующих периодах.</w:t>
            </w:r>
          </w:p>
        </w:tc>
      </w:tr>
      <w:tr w:rsidR="00A26E61" w:rsidRPr="00227243" w14:paraId="67EFF0D9" w14:textId="77777777" w:rsidTr="00CD0C4B">
        <w:tc>
          <w:tcPr>
            <w:tcW w:w="1665" w:type="dxa"/>
          </w:tcPr>
          <w:p w14:paraId="280F6978" w14:textId="77777777" w:rsidR="00A26E61" w:rsidRPr="00227243" w:rsidRDefault="00A26E61" w:rsidP="00CD0C4B">
            <w:pPr>
              <w:tabs>
                <w:tab w:val="left" w:pos="0"/>
                <w:tab w:val="left" w:pos="1134"/>
              </w:tabs>
              <w:jc w:val="center"/>
              <w:rPr>
                <w:b/>
                <w:sz w:val="20"/>
                <w:szCs w:val="20"/>
              </w:rPr>
            </w:pPr>
            <w:r w:rsidRPr="00227243">
              <w:rPr>
                <w:b/>
                <w:sz w:val="20"/>
                <w:szCs w:val="20"/>
              </w:rPr>
              <w:t>ОНА</w:t>
            </w:r>
          </w:p>
          <w:p w14:paraId="724DD99D" w14:textId="77777777" w:rsidR="00A26E61" w:rsidRPr="00227243" w:rsidRDefault="00A26E61" w:rsidP="00CD0C4B">
            <w:pPr>
              <w:tabs>
                <w:tab w:val="left" w:pos="0"/>
                <w:tab w:val="left" w:pos="1134"/>
              </w:tabs>
              <w:jc w:val="center"/>
              <w:rPr>
                <w:rFonts w:cstheme="minorHAnsi"/>
                <w:sz w:val="20"/>
                <w:szCs w:val="20"/>
              </w:rPr>
            </w:pPr>
            <w:r w:rsidRPr="00227243">
              <w:rPr>
                <w:b/>
                <w:sz w:val="20"/>
                <w:szCs w:val="20"/>
              </w:rPr>
              <w:t>по амортизации основных средств</w:t>
            </w:r>
          </w:p>
        </w:tc>
        <w:tc>
          <w:tcPr>
            <w:tcW w:w="13461" w:type="dxa"/>
          </w:tcPr>
          <w:p w14:paraId="2FA23EA4" w14:textId="77777777" w:rsidR="00A26E61" w:rsidRPr="00227243" w:rsidRDefault="00A26E61" w:rsidP="00CD0C4B">
            <w:pPr>
              <w:tabs>
                <w:tab w:val="left" w:pos="0"/>
              </w:tabs>
              <w:jc w:val="both"/>
              <w:rPr>
                <w:sz w:val="20"/>
                <w:szCs w:val="20"/>
              </w:rPr>
            </w:pPr>
            <w:r w:rsidRPr="00227243">
              <w:rPr>
                <w:sz w:val="20"/>
                <w:szCs w:val="20"/>
              </w:rPr>
              <w:t xml:space="preserve">Может быть связан с применением на Предприятии ускоренной амортизации. В таком случае «налоговая» стоимость основных средств (ОС) на дату оценки выше балансовой, величина ОНА рассчитывается как ставка налога на прибыль, умноженная на эту разницу. По данным </w:t>
            </w:r>
            <w:r w:rsidRPr="00227243">
              <w:rPr>
                <w:b/>
                <w:sz w:val="20"/>
                <w:szCs w:val="20"/>
              </w:rPr>
              <w:t>бухгалтерского учета</w:t>
            </w:r>
            <w:r w:rsidRPr="00227243">
              <w:rPr>
                <w:sz w:val="20"/>
                <w:szCs w:val="20"/>
              </w:rPr>
              <w:t xml:space="preserve"> Предприятие до даты оценки «</w:t>
            </w:r>
            <w:r w:rsidRPr="00227243">
              <w:rPr>
                <w:b/>
                <w:sz w:val="20"/>
                <w:szCs w:val="20"/>
              </w:rPr>
              <w:t>платило» налог на прибыль меньше</w:t>
            </w:r>
            <w:r w:rsidRPr="00227243">
              <w:rPr>
                <w:sz w:val="20"/>
                <w:szCs w:val="20"/>
              </w:rPr>
              <w:t>, чем по данным налогового учета</w:t>
            </w:r>
            <w:r w:rsidRPr="00227243">
              <w:rPr>
                <w:b/>
                <w:bCs/>
                <w:sz w:val="20"/>
                <w:szCs w:val="20"/>
              </w:rPr>
              <w:t>, а</w:t>
            </w:r>
            <w:r w:rsidRPr="00227243">
              <w:rPr>
                <w:b/>
                <w:sz w:val="20"/>
                <w:szCs w:val="20"/>
              </w:rPr>
              <w:t xml:space="preserve"> в будущем</w:t>
            </w:r>
            <w:r w:rsidRPr="00227243">
              <w:rPr>
                <w:sz w:val="20"/>
                <w:szCs w:val="20"/>
              </w:rPr>
              <w:t>, когда объект будет полностью «</w:t>
            </w:r>
            <w:proofErr w:type="spellStart"/>
            <w:r w:rsidRPr="00227243">
              <w:rPr>
                <w:sz w:val="20"/>
                <w:szCs w:val="20"/>
              </w:rPr>
              <w:t>самортизирован</w:t>
            </w:r>
            <w:proofErr w:type="spellEnd"/>
            <w:r w:rsidRPr="00227243">
              <w:rPr>
                <w:sz w:val="20"/>
                <w:szCs w:val="20"/>
              </w:rPr>
              <w:t>», «</w:t>
            </w:r>
            <w:r w:rsidRPr="00227243">
              <w:rPr>
                <w:b/>
                <w:sz w:val="20"/>
                <w:szCs w:val="20"/>
              </w:rPr>
              <w:t>заплатит» больше</w:t>
            </w:r>
            <w:r w:rsidRPr="00227243">
              <w:rPr>
                <w:sz w:val="20"/>
                <w:szCs w:val="20"/>
              </w:rPr>
              <w:t>. В реальности уплата налога на прибыль осуществляется по данным налогового учета и больше необходимого платить не придется.</w:t>
            </w:r>
          </w:p>
          <w:p w14:paraId="7E49F4EA" w14:textId="77777777" w:rsidR="00A26E61" w:rsidRPr="00227243" w:rsidRDefault="00A26E61" w:rsidP="00CD0C4B">
            <w:pPr>
              <w:tabs>
                <w:tab w:val="left" w:pos="0"/>
              </w:tabs>
              <w:jc w:val="both"/>
              <w:rPr>
                <w:sz w:val="20"/>
                <w:szCs w:val="20"/>
              </w:rPr>
            </w:pPr>
            <w:r w:rsidRPr="00227243">
              <w:rPr>
                <w:sz w:val="20"/>
                <w:szCs w:val="20"/>
              </w:rPr>
              <w:t>ОНА имеет ценность только при продолжающейся деятельности, относится непосредственно к объектам ОС, по которым он сформирован. График списания ОНА определяется по оставшемуся сроку амортизации ОС по налоговому учету (запрашивается у бухгалтерии).</w:t>
            </w:r>
          </w:p>
          <w:p w14:paraId="76459EF4" w14:textId="77777777" w:rsidR="00A26E61" w:rsidRPr="00227243" w:rsidRDefault="00A26E61" w:rsidP="00CD0C4B">
            <w:pPr>
              <w:tabs>
                <w:tab w:val="left" w:pos="0"/>
              </w:tabs>
              <w:jc w:val="both"/>
              <w:rPr>
                <w:rFonts w:cstheme="minorHAnsi"/>
                <w:sz w:val="20"/>
                <w:szCs w:val="20"/>
              </w:rPr>
            </w:pPr>
            <w:r w:rsidRPr="00227243">
              <w:rPr>
                <w:sz w:val="20"/>
                <w:szCs w:val="20"/>
              </w:rPr>
              <w:t>При ликвидации Предприятия или продаже ОС ОНА с баланса уйдет вместе с объектом, по которому был сформирован.</w:t>
            </w:r>
          </w:p>
        </w:tc>
      </w:tr>
      <w:tr w:rsidR="00A26E61" w:rsidRPr="00227243" w14:paraId="31D2DD9C" w14:textId="77777777" w:rsidTr="00CD0C4B">
        <w:tc>
          <w:tcPr>
            <w:tcW w:w="1665" w:type="dxa"/>
          </w:tcPr>
          <w:p w14:paraId="7AF7988F" w14:textId="77777777" w:rsidR="00A26E61" w:rsidRPr="00227243" w:rsidRDefault="00A26E61" w:rsidP="00CD0C4B">
            <w:pPr>
              <w:tabs>
                <w:tab w:val="left" w:pos="0"/>
                <w:tab w:val="left" w:pos="1134"/>
              </w:tabs>
              <w:jc w:val="center"/>
              <w:rPr>
                <w:b/>
                <w:sz w:val="20"/>
                <w:szCs w:val="20"/>
              </w:rPr>
            </w:pPr>
            <w:r w:rsidRPr="00227243">
              <w:rPr>
                <w:b/>
                <w:sz w:val="20"/>
                <w:szCs w:val="20"/>
              </w:rPr>
              <w:t>ОНО</w:t>
            </w:r>
          </w:p>
          <w:p w14:paraId="07A49D17" w14:textId="77777777" w:rsidR="00A26E61" w:rsidRPr="00227243" w:rsidRDefault="00A26E61" w:rsidP="00CD0C4B">
            <w:pPr>
              <w:tabs>
                <w:tab w:val="left" w:pos="0"/>
                <w:tab w:val="left" w:pos="1134"/>
              </w:tabs>
              <w:jc w:val="center"/>
              <w:rPr>
                <w:rFonts w:cstheme="minorHAnsi"/>
                <w:sz w:val="20"/>
                <w:szCs w:val="20"/>
              </w:rPr>
            </w:pPr>
            <w:r w:rsidRPr="00227243">
              <w:rPr>
                <w:b/>
                <w:sz w:val="20"/>
                <w:szCs w:val="20"/>
              </w:rPr>
              <w:t>по внеоборотным активам</w:t>
            </w:r>
          </w:p>
        </w:tc>
        <w:tc>
          <w:tcPr>
            <w:tcW w:w="13461" w:type="dxa"/>
          </w:tcPr>
          <w:p w14:paraId="512B27A3" w14:textId="77777777" w:rsidR="00A26E61" w:rsidRPr="00227243" w:rsidRDefault="00A26E61" w:rsidP="00CD0C4B">
            <w:pPr>
              <w:tabs>
                <w:tab w:val="left" w:pos="0"/>
              </w:tabs>
              <w:jc w:val="both"/>
              <w:rPr>
                <w:sz w:val="20"/>
                <w:szCs w:val="20"/>
              </w:rPr>
            </w:pPr>
            <w:r w:rsidRPr="00227243">
              <w:rPr>
                <w:sz w:val="20"/>
                <w:szCs w:val="20"/>
              </w:rPr>
              <w:t xml:space="preserve">Может быть связано с разницей учета процентов по инвестиционным займам и налога на землю в период строительства – </w:t>
            </w:r>
            <w:r w:rsidRPr="00227243">
              <w:rPr>
                <w:b/>
                <w:bCs/>
                <w:sz w:val="20"/>
                <w:szCs w:val="20"/>
              </w:rPr>
              <w:t>в бухгалтерском учете</w:t>
            </w:r>
            <w:r w:rsidRPr="00227243">
              <w:rPr>
                <w:sz w:val="20"/>
                <w:szCs w:val="20"/>
              </w:rPr>
              <w:t xml:space="preserve"> эти затраты относятся на стоимость незавершенного строительства (НЗС), </w:t>
            </w:r>
            <w:r w:rsidRPr="00227243">
              <w:rPr>
                <w:b/>
                <w:bCs/>
                <w:sz w:val="20"/>
                <w:szCs w:val="20"/>
              </w:rPr>
              <w:t>в налоговом</w:t>
            </w:r>
            <w:r w:rsidRPr="00227243">
              <w:rPr>
                <w:sz w:val="20"/>
                <w:szCs w:val="20"/>
              </w:rPr>
              <w:t xml:space="preserve"> – списываются на расходы периода. К моменту ввода НЗС в эксплуатацию балансовая стоимость ОС будет больше «налоговой», возникнет разница амортизации и величины налогооблагаемой прибыли.</w:t>
            </w:r>
          </w:p>
          <w:p w14:paraId="7F9C7F76" w14:textId="77777777" w:rsidR="00A26E61" w:rsidRPr="00227243" w:rsidRDefault="00A26E61" w:rsidP="00CD0C4B">
            <w:pPr>
              <w:tabs>
                <w:tab w:val="left" w:pos="0"/>
              </w:tabs>
              <w:jc w:val="both"/>
              <w:rPr>
                <w:rFonts w:cstheme="minorHAnsi"/>
                <w:sz w:val="20"/>
                <w:szCs w:val="20"/>
              </w:rPr>
            </w:pPr>
            <w:r w:rsidRPr="00227243">
              <w:rPr>
                <w:sz w:val="20"/>
                <w:szCs w:val="20"/>
              </w:rPr>
              <w:t>График списания обязательства определяется по сроку экономической жизни основного средства по данным налогового учета.</w:t>
            </w:r>
          </w:p>
        </w:tc>
      </w:tr>
      <w:tr w:rsidR="00A26E61" w:rsidRPr="00227243" w14:paraId="3AA90441" w14:textId="77777777" w:rsidTr="00CD0C4B">
        <w:tc>
          <w:tcPr>
            <w:tcW w:w="1665" w:type="dxa"/>
          </w:tcPr>
          <w:p w14:paraId="018C7A60" w14:textId="77777777" w:rsidR="00A26E61" w:rsidRPr="00227243" w:rsidRDefault="00A26E61" w:rsidP="00CD0C4B">
            <w:pPr>
              <w:tabs>
                <w:tab w:val="left" w:pos="0"/>
                <w:tab w:val="left" w:pos="1134"/>
              </w:tabs>
              <w:jc w:val="center"/>
              <w:rPr>
                <w:b/>
                <w:sz w:val="20"/>
                <w:szCs w:val="20"/>
              </w:rPr>
            </w:pPr>
            <w:r w:rsidRPr="00227243">
              <w:rPr>
                <w:b/>
                <w:sz w:val="20"/>
                <w:szCs w:val="20"/>
              </w:rPr>
              <w:t>ОНО,</w:t>
            </w:r>
          </w:p>
          <w:p w14:paraId="053F5A0B" w14:textId="77777777" w:rsidR="00A26E61" w:rsidRPr="00227243" w:rsidRDefault="00A26E61" w:rsidP="00CD0C4B">
            <w:pPr>
              <w:tabs>
                <w:tab w:val="left" w:pos="0"/>
                <w:tab w:val="left" w:pos="1134"/>
              </w:tabs>
              <w:jc w:val="center"/>
              <w:rPr>
                <w:rFonts w:cstheme="minorHAnsi"/>
                <w:sz w:val="20"/>
                <w:szCs w:val="20"/>
              </w:rPr>
            </w:pPr>
            <w:r w:rsidRPr="00227243">
              <w:rPr>
                <w:b/>
                <w:sz w:val="20"/>
                <w:szCs w:val="20"/>
              </w:rPr>
              <w:t>связанные с переоценкой основных средств</w:t>
            </w:r>
          </w:p>
        </w:tc>
        <w:tc>
          <w:tcPr>
            <w:tcW w:w="13461" w:type="dxa"/>
          </w:tcPr>
          <w:p w14:paraId="6A6E0F11" w14:textId="77777777" w:rsidR="00A26E61" w:rsidRPr="00227243" w:rsidRDefault="00A26E61" w:rsidP="00CD0C4B">
            <w:pPr>
              <w:tabs>
                <w:tab w:val="left" w:pos="0"/>
              </w:tabs>
              <w:jc w:val="both"/>
              <w:rPr>
                <w:sz w:val="20"/>
                <w:szCs w:val="20"/>
              </w:rPr>
            </w:pPr>
            <w:r w:rsidRPr="00227243">
              <w:rPr>
                <w:sz w:val="20"/>
                <w:szCs w:val="20"/>
              </w:rPr>
              <w:t>Налоговый учет не признает переоценку, в результате формируется отложенный налог, который Предприятие заплатит в случае продажи переоцененного ОС:</w:t>
            </w:r>
          </w:p>
          <w:p w14:paraId="1B44F7EC" w14:textId="77777777" w:rsidR="00A26E61" w:rsidRPr="00227243" w:rsidRDefault="00A26E61" w:rsidP="00A26E61">
            <w:pPr>
              <w:pStyle w:val="a3"/>
              <w:numPr>
                <w:ilvl w:val="0"/>
                <w:numId w:val="2"/>
              </w:numPr>
              <w:tabs>
                <w:tab w:val="left" w:pos="0"/>
              </w:tabs>
              <w:ind w:left="368"/>
              <w:jc w:val="both"/>
              <w:rPr>
                <w:sz w:val="20"/>
                <w:szCs w:val="20"/>
              </w:rPr>
            </w:pPr>
            <w:r w:rsidRPr="00227243">
              <w:rPr>
                <w:sz w:val="20"/>
                <w:szCs w:val="20"/>
              </w:rPr>
              <w:t>если оценка проводится при допущении продолжения деятельности и ОС не планируется реализовывать – соответствующие суммы налога заплачены не будут, рыночная стоимость ОНО равна нулю;</w:t>
            </w:r>
          </w:p>
          <w:p w14:paraId="3FE7CCCF" w14:textId="77777777" w:rsidR="00A26E61" w:rsidRPr="00227243" w:rsidRDefault="00A26E61" w:rsidP="00A26E61">
            <w:pPr>
              <w:pStyle w:val="a3"/>
              <w:numPr>
                <w:ilvl w:val="0"/>
                <w:numId w:val="2"/>
              </w:numPr>
              <w:tabs>
                <w:tab w:val="left" w:pos="0"/>
              </w:tabs>
              <w:ind w:left="368"/>
              <w:jc w:val="both"/>
              <w:rPr>
                <w:rFonts w:cstheme="minorHAnsi"/>
                <w:sz w:val="20"/>
                <w:szCs w:val="20"/>
              </w:rPr>
            </w:pPr>
            <w:r w:rsidRPr="00227243">
              <w:rPr>
                <w:sz w:val="20"/>
                <w:szCs w:val="20"/>
              </w:rPr>
              <w:t>если продажа объекта предполагается – рыночная стоимость ОНО равна ставке налога на прибыль, умноженной на разницу рыночной «налоговой» стоимости ОС (при отрицательном результате рыночная стоимость ОНО равна нулю).</w:t>
            </w:r>
          </w:p>
        </w:tc>
      </w:tr>
      <w:tr w:rsidR="00A26E61" w:rsidRPr="00B2034E" w14:paraId="4D029C99" w14:textId="77777777" w:rsidTr="00CD0C4B">
        <w:tc>
          <w:tcPr>
            <w:tcW w:w="1665" w:type="dxa"/>
          </w:tcPr>
          <w:p w14:paraId="01151067" w14:textId="77777777" w:rsidR="00A26E61" w:rsidRPr="00227243" w:rsidRDefault="00A26E61" w:rsidP="00CD0C4B">
            <w:pPr>
              <w:tabs>
                <w:tab w:val="left" w:pos="0"/>
                <w:tab w:val="left" w:pos="1134"/>
              </w:tabs>
              <w:jc w:val="center"/>
              <w:rPr>
                <w:b/>
                <w:sz w:val="20"/>
                <w:szCs w:val="20"/>
              </w:rPr>
            </w:pPr>
            <w:r w:rsidRPr="00227243">
              <w:rPr>
                <w:b/>
                <w:sz w:val="20"/>
                <w:szCs w:val="20"/>
              </w:rPr>
              <w:t>ОНО</w:t>
            </w:r>
          </w:p>
          <w:p w14:paraId="2022EA47" w14:textId="77777777" w:rsidR="00A26E61" w:rsidRPr="00227243" w:rsidRDefault="00A26E61" w:rsidP="00CD0C4B">
            <w:pPr>
              <w:tabs>
                <w:tab w:val="left" w:pos="0"/>
                <w:tab w:val="left" w:pos="1134"/>
              </w:tabs>
              <w:jc w:val="center"/>
              <w:rPr>
                <w:rFonts w:cstheme="minorHAnsi"/>
                <w:sz w:val="20"/>
                <w:szCs w:val="20"/>
              </w:rPr>
            </w:pPr>
            <w:r w:rsidRPr="00227243">
              <w:rPr>
                <w:b/>
                <w:sz w:val="20"/>
                <w:szCs w:val="20"/>
              </w:rPr>
              <w:t>по курсовым разницам</w:t>
            </w:r>
          </w:p>
        </w:tc>
        <w:tc>
          <w:tcPr>
            <w:tcW w:w="13461" w:type="dxa"/>
          </w:tcPr>
          <w:p w14:paraId="76827BBC" w14:textId="77777777" w:rsidR="00A26E61" w:rsidRPr="00227243" w:rsidRDefault="00A26E61" w:rsidP="00CD0C4B">
            <w:pPr>
              <w:tabs>
                <w:tab w:val="left" w:pos="0"/>
              </w:tabs>
              <w:jc w:val="both"/>
              <w:rPr>
                <w:sz w:val="20"/>
                <w:szCs w:val="20"/>
              </w:rPr>
            </w:pPr>
            <w:r w:rsidRPr="00227243">
              <w:rPr>
                <w:sz w:val="20"/>
                <w:szCs w:val="20"/>
              </w:rPr>
              <w:t>Появились в 2022 году</w:t>
            </w:r>
            <w:r w:rsidRPr="00227243">
              <w:rPr>
                <w:rStyle w:val="a7"/>
                <w:sz w:val="20"/>
                <w:szCs w:val="20"/>
              </w:rPr>
              <w:footnoteReference w:id="2"/>
            </w:r>
            <w:r w:rsidRPr="00227243">
              <w:rPr>
                <w:sz w:val="20"/>
                <w:szCs w:val="20"/>
              </w:rPr>
              <w:t>:</w:t>
            </w:r>
          </w:p>
          <w:p w14:paraId="06D1CDC1" w14:textId="77777777" w:rsidR="00A26E61" w:rsidRPr="00227243" w:rsidRDefault="00A26E61" w:rsidP="00A26E61">
            <w:pPr>
              <w:pStyle w:val="a3"/>
              <w:numPr>
                <w:ilvl w:val="0"/>
                <w:numId w:val="2"/>
              </w:numPr>
              <w:tabs>
                <w:tab w:val="left" w:pos="0"/>
              </w:tabs>
              <w:ind w:left="368"/>
              <w:jc w:val="both"/>
              <w:rPr>
                <w:sz w:val="20"/>
                <w:szCs w:val="20"/>
              </w:rPr>
            </w:pPr>
            <w:r w:rsidRPr="00227243">
              <w:rPr>
                <w:sz w:val="20"/>
                <w:szCs w:val="20"/>
              </w:rPr>
              <w:t>с 2022 года положительные курсовые разницы … признаются только при погашении задолженности (</w:t>
            </w:r>
            <w:proofErr w:type="spellStart"/>
            <w:r w:rsidRPr="00227243">
              <w:rPr>
                <w:sz w:val="20"/>
                <w:szCs w:val="20"/>
              </w:rPr>
              <w:t>пп</w:t>
            </w:r>
            <w:proofErr w:type="spellEnd"/>
            <w:r w:rsidRPr="00227243">
              <w:rPr>
                <w:sz w:val="20"/>
                <w:szCs w:val="20"/>
              </w:rPr>
              <w:t>. 7.1 п. 4 ст. 271 НК РФ). Отрицательные курсовые разницы в 2022 году по-прежнему признаются и при погашении задолженности, и на последнее число месяца;</w:t>
            </w:r>
          </w:p>
          <w:p w14:paraId="39CF16F1" w14:textId="77777777" w:rsidR="00A26E61" w:rsidRPr="00227243" w:rsidRDefault="00A26E61" w:rsidP="00A26E61">
            <w:pPr>
              <w:pStyle w:val="a3"/>
              <w:numPr>
                <w:ilvl w:val="0"/>
                <w:numId w:val="2"/>
              </w:numPr>
              <w:tabs>
                <w:tab w:val="left" w:pos="0"/>
              </w:tabs>
              <w:ind w:left="368"/>
              <w:jc w:val="both"/>
              <w:rPr>
                <w:sz w:val="20"/>
                <w:szCs w:val="20"/>
              </w:rPr>
            </w:pPr>
            <w:r w:rsidRPr="00227243">
              <w:rPr>
                <w:sz w:val="20"/>
                <w:szCs w:val="20"/>
              </w:rPr>
              <w:t>с 2023 года отрицательные курсовые разницы …, так же, как и положительные, признаются только при погашении задолженности (</w:t>
            </w:r>
            <w:proofErr w:type="spellStart"/>
            <w:r w:rsidRPr="00227243">
              <w:rPr>
                <w:sz w:val="20"/>
                <w:szCs w:val="20"/>
              </w:rPr>
              <w:t>пп</w:t>
            </w:r>
            <w:proofErr w:type="spellEnd"/>
            <w:r w:rsidRPr="00227243">
              <w:rPr>
                <w:sz w:val="20"/>
                <w:szCs w:val="20"/>
              </w:rPr>
              <w:t>. 6.1 п. 7 ст. 272 НК РФ в ред. Закона № 67-ФЗ).</w:t>
            </w:r>
          </w:p>
          <w:p w14:paraId="58AFED5F" w14:textId="77777777" w:rsidR="00A26E61" w:rsidRPr="00227243" w:rsidRDefault="00A26E61" w:rsidP="00CD0C4B">
            <w:pPr>
              <w:tabs>
                <w:tab w:val="left" w:pos="0"/>
              </w:tabs>
              <w:ind w:left="8"/>
              <w:jc w:val="both"/>
              <w:rPr>
                <w:sz w:val="20"/>
                <w:szCs w:val="20"/>
              </w:rPr>
            </w:pPr>
            <w:r w:rsidRPr="00227243">
              <w:rPr>
                <w:sz w:val="20"/>
                <w:szCs w:val="20"/>
              </w:rPr>
              <w:t>Оба изменения действуют до конца 2024 года. Переоценка непогашенных валютных требований и обязательств временно не учитывается в доходах (расходах) для целей налогообложения.</w:t>
            </w:r>
          </w:p>
          <w:p w14:paraId="70323CD6" w14:textId="77777777" w:rsidR="00A26E61" w:rsidRPr="00227243" w:rsidRDefault="00A26E61" w:rsidP="00CD0C4B">
            <w:pPr>
              <w:tabs>
                <w:tab w:val="left" w:pos="0"/>
              </w:tabs>
              <w:jc w:val="both"/>
              <w:rPr>
                <w:sz w:val="20"/>
                <w:szCs w:val="20"/>
              </w:rPr>
            </w:pPr>
            <w:r w:rsidRPr="00227243">
              <w:rPr>
                <w:sz w:val="20"/>
                <w:szCs w:val="20"/>
              </w:rPr>
              <w:t>Возможен следующий алгоритм оценки рыночной стоимости:</w:t>
            </w:r>
          </w:p>
          <w:p w14:paraId="5254CA16" w14:textId="77777777" w:rsidR="00A26E61" w:rsidRPr="00227243" w:rsidRDefault="00A26E61" w:rsidP="00A26E61">
            <w:pPr>
              <w:pStyle w:val="a3"/>
              <w:numPr>
                <w:ilvl w:val="0"/>
                <w:numId w:val="1"/>
              </w:numPr>
              <w:tabs>
                <w:tab w:val="left" w:pos="0"/>
              </w:tabs>
              <w:jc w:val="both"/>
              <w:rPr>
                <w:sz w:val="20"/>
                <w:szCs w:val="20"/>
              </w:rPr>
            </w:pPr>
            <w:r w:rsidRPr="00227243">
              <w:rPr>
                <w:sz w:val="20"/>
                <w:szCs w:val="20"/>
              </w:rPr>
              <w:t>прогнозируется величина ОНО в январе 2025 года с учетом изменения курсов валют;</w:t>
            </w:r>
          </w:p>
          <w:p w14:paraId="19D9A103" w14:textId="77777777" w:rsidR="00A26E61" w:rsidRPr="00227243" w:rsidRDefault="00A26E61" w:rsidP="00A26E61">
            <w:pPr>
              <w:pStyle w:val="a3"/>
              <w:numPr>
                <w:ilvl w:val="0"/>
                <w:numId w:val="1"/>
              </w:numPr>
              <w:tabs>
                <w:tab w:val="left" w:pos="0"/>
              </w:tabs>
              <w:jc w:val="both"/>
              <w:rPr>
                <w:rFonts w:cstheme="minorHAnsi"/>
                <w:sz w:val="20"/>
                <w:szCs w:val="20"/>
              </w:rPr>
            </w:pPr>
            <w:r w:rsidRPr="00227243">
              <w:rPr>
                <w:sz w:val="20"/>
                <w:szCs w:val="20"/>
              </w:rPr>
              <w:t>полученная величина приводится к дате оценки по ставке дисконтирования, характеризующей деятельность Предприятия.</w:t>
            </w:r>
          </w:p>
        </w:tc>
      </w:tr>
    </w:tbl>
    <w:p w14:paraId="54D0FB42" w14:textId="77777777" w:rsidR="009845C1" w:rsidRDefault="009845C1" w:rsidP="00E264AE"/>
    <w:sectPr w:rsidR="009845C1" w:rsidSect="00A26E61">
      <w:pgSz w:w="16838" w:h="11906" w:orient="landscape"/>
      <w:pgMar w:top="567"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CB46F" w14:textId="77777777" w:rsidR="00F164B2" w:rsidRDefault="00F164B2" w:rsidP="00A26E61">
      <w:pPr>
        <w:spacing w:after="0" w:line="240" w:lineRule="auto"/>
      </w:pPr>
      <w:r>
        <w:separator/>
      </w:r>
    </w:p>
  </w:endnote>
  <w:endnote w:type="continuationSeparator" w:id="0">
    <w:p w14:paraId="76F0A641" w14:textId="77777777" w:rsidR="00F164B2" w:rsidRDefault="00F164B2" w:rsidP="00A26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CCD10" w14:textId="77777777" w:rsidR="00F164B2" w:rsidRDefault="00F164B2" w:rsidP="00A26E61">
      <w:pPr>
        <w:spacing w:after="0" w:line="240" w:lineRule="auto"/>
      </w:pPr>
      <w:r>
        <w:separator/>
      </w:r>
    </w:p>
  </w:footnote>
  <w:footnote w:type="continuationSeparator" w:id="0">
    <w:p w14:paraId="7066EB5E" w14:textId="77777777" w:rsidR="00F164B2" w:rsidRDefault="00F164B2" w:rsidP="00A26E61">
      <w:pPr>
        <w:spacing w:after="0" w:line="240" w:lineRule="auto"/>
      </w:pPr>
      <w:r>
        <w:continuationSeparator/>
      </w:r>
    </w:p>
  </w:footnote>
  <w:footnote w:id="1">
    <w:p w14:paraId="783E6F5F" w14:textId="77777777" w:rsidR="00A26E61" w:rsidRPr="00942B90" w:rsidRDefault="00A26E61" w:rsidP="00A26E61">
      <w:pPr>
        <w:pStyle w:val="a5"/>
        <w:jc w:val="both"/>
        <w:rPr>
          <w:sz w:val="16"/>
          <w:szCs w:val="16"/>
        </w:rPr>
      </w:pPr>
      <w:r w:rsidRPr="00942B90">
        <w:rPr>
          <w:rStyle w:val="a7"/>
          <w:sz w:val="16"/>
          <w:szCs w:val="16"/>
        </w:rPr>
        <w:footnoteRef/>
      </w:r>
      <w:r w:rsidRPr="00942B90">
        <w:rPr>
          <w:sz w:val="16"/>
          <w:szCs w:val="16"/>
        </w:rPr>
        <w:t xml:space="preserve"> </w:t>
      </w:r>
      <w:r w:rsidRPr="00942B90">
        <w:rPr>
          <w:rFonts w:cstheme="minorHAnsi"/>
          <w:sz w:val="16"/>
          <w:szCs w:val="16"/>
        </w:rPr>
        <w:t>С учетом положений ПБУ 18/02, следует воспринимать в значении ~ «налог на прибыль за счет убытков прошлых лет не может быть снижен более, чем на 50%».</w:t>
      </w:r>
    </w:p>
  </w:footnote>
  <w:footnote w:id="2">
    <w:p w14:paraId="0E438EE5" w14:textId="77777777" w:rsidR="00A26E61" w:rsidRPr="00942B90" w:rsidRDefault="00A26E61" w:rsidP="00A26E61">
      <w:pPr>
        <w:pStyle w:val="a5"/>
        <w:jc w:val="both"/>
        <w:rPr>
          <w:sz w:val="16"/>
          <w:szCs w:val="16"/>
        </w:rPr>
      </w:pPr>
      <w:r w:rsidRPr="00942B90">
        <w:rPr>
          <w:rStyle w:val="a7"/>
          <w:sz w:val="16"/>
          <w:szCs w:val="16"/>
        </w:rPr>
        <w:footnoteRef/>
      </w:r>
      <w:r w:rsidRPr="00942B90">
        <w:rPr>
          <w:sz w:val="16"/>
          <w:szCs w:val="16"/>
        </w:rPr>
        <w:t xml:space="preserve"> Федеральный закон от 26.03.2022 № 67-ФЗ «О внесении изменений в части первую и вторую НК РФ …» изменил порядок признания курсовых разниц</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A1696"/>
    <w:multiLevelType w:val="hybridMultilevel"/>
    <w:tmpl w:val="46547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6797154"/>
    <w:multiLevelType w:val="hybridMultilevel"/>
    <w:tmpl w:val="E81286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355577723">
    <w:abstractNumId w:val="0"/>
  </w:num>
  <w:num w:numId="2" w16cid:durableId="1230120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E61"/>
    <w:rsid w:val="009845C1"/>
    <w:rsid w:val="00A26E61"/>
    <w:rsid w:val="00E264AE"/>
    <w:rsid w:val="00F164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5DC7E"/>
  <w15:chartTrackingRefBased/>
  <w15:docId w15:val="{375D7C30-DB9F-452C-8463-EA2CF8C9A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6E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Уровент 2.2,Абзац списка4,Абзац списка ЦНЭС,Начало абзаца,SA Text List,SA PM Red,Список точки,СПИСОК,List Paragraph,Нумерованный,маркировка1,Заголовок ур.2 (1 раздел),Заголовок 3 -третий уровень,8т рис"/>
    <w:basedOn w:val="a"/>
    <w:link w:val="a4"/>
    <w:uiPriority w:val="34"/>
    <w:qFormat/>
    <w:rsid w:val="00A26E61"/>
    <w:pPr>
      <w:ind w:left="720"/>
      <w:contextualSpacing/>
    </w:pPr>
  </w:style>
  <w:style w:type="paragraph" w:styleId="a5">
    <w:name w:val="footnote text"/>
    <w:aliases w:val="Текст сноски VT,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З,Table_Footnote_last,Schriftart: 9"/>
    <w:basedOn w:val="a"/>
    <w:link w:val="a6"/>
    <w:uiPriority w:val="99"/>
    <w:unhideWhenUsed/>
    <w:rsid w:val="00A26E61"/>
    <w:pPr>
      <w:spacing w:after="0" w:line="240" w:lineRule="auto"/>
    </w:pPr>
    <w:rPr>
      <w:sz w:val="20"/>
      <w:szCs w:val="20"/>
    </w:rPr>
  </w:style>
  <w:style w:type="character" w:customStyle="1" w:styleId="a6">
    <w:name w:val="Текст сноски Знак"/>
    <w:aliases w:val="Текст сноски VT Знак1,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З Знак1"/>
    <w:basedOn w:val="a0"/>
    <w:link w:val="a5"/>
    <w:uiPriority w:val="99"/>
    <w:rsid w:val="00A26E61"/>
    <w:rPr>
      <w:sz w:val="20"/>
      <w:szCs w:val="20"/>
    </w:rPr>
  </w:style>
  <w:style w:type="character" w:styleId="a7">
    <w:name w:val="footnote reference"/>
    <w:aliases w:val="Знак сноски-FN,сноска,СНОСКА,сноска1,Знак сноски 1,Ciae niinee-FN,Referencia nota al pie,ftref,вески,Знак сноски1,Avg - Знак сноски,avg-Знак сноски,fr,Used by Word for Help footnote symbols,Avg,ООО Знак сноски,ХИА_ЗС,Знак сноски итог,SUPERS"/>
    <w:basedOn w:val="a0"/>
    <w:semiHidden/>
    <w:unhideWhenUsed/>
    <w:rsid w:val="00A26E61"/>
    <w:rPr>
      <w:vertAlign w:val="superscript"/>
    </w:rPr>
  </w:style>
  <w:style w:type="table" w:styleId="a8">
    <w:name w:val="Table Grid"/>
    <w:basedOn w:val="a1"/>
    <w:uiPriority w:val="39"/>
    <w:rsid w:val="00A26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Уровент 2.2 Знак,Абзац списка4 Знак,Абзац списка ЦНЭС Знак,Начало абзаца Знак,SA Text List Знак,SA PM Red Знак,Список точки Знак,СПИСОК Знак,List Paragraph Знак,Нумерованный Знак,маркировка1 Знак,Заголовок ур.2 (1 раздел) Знак"/>
    <w:link w:val="a3"/>
    <w:uiPriority w:val="34"/>
    <w:locked/>
    <w:rsid w:val="00A26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559</Words>
  <Characters>3191</Characters>
  <Application>Microsoft Office Word</Application>
  <DocSecurity>0</DocSecurity>
  <Lines>26</Lines>
  <Paragraphs>7</Paragraphs>
  <ScaleCrop>false</ScaleCrop>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Kurbanov</dc:creator>
  <cp:keywords/>
  <dc:description/>
  <cp:lastModifiedBy>Murat Kurbanov</cp:lastModifiedBy>
  <cp:revision>2</cp:revision>
  <dcterms:created xsi:type="dcterms:W3CDTF">2022-12-20T06:27:00Z</dcterms:created>
  <dcterms:modified xsi:type="dcterms:W3CDTF">2022-12-20T06:28:00Z</dcterms:modified>
</cp:coreProperties>
</file>