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BE4DB" w14:textId="5D1082A5" w:rsidR="003807E2" w:rsidRDefault="003807E2" w:rsidP="003807E2">
      <w:pPr>
        <w:spacing w:line="276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r w:rsidRPr="003807E2">
        <w:rPr>
          <w:rFonts w:ascii="Times New Roman" w:eastAsiaTheme="minorEastAsia" w:hAnsi="Times New Roman" w:cs="Times New Roman"/>
          <w:sz w:val="28"/>
          <w:szCs w:val="28"/>
          <w:lang w:eastAsia="en-US"/>
        </w:rPr>
        <w:t>В последние несколько лет практика рецензирования (оспаривания) была закреплена в следующих решениях судов (по хронологии):</w:t>
      </w:r>
    </w:p>
    <w:p w14:paraId="5D70EADA" w14:textId="77777777" w:rsidR="003807E2" w:rsidRPr="003807E2" w:rsidRDefault="003807E2" w:rsidP="003807E2">
      <w:pPr>
        <w:spacing w:line="276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4961"/>
      </w:tblGrid>
      <w:tr w:rsidR="003807E2" w:rsidRPr="00EF6A49" w14:paraId="465006C3" w14:textId="77777777" w:rsidTr="003807E2">
        <w:trPr>
          <w:cantSplit/>
          <w:tblHeader/>
          <w:jc w:val="center"/>
        </w:trPr>
        <w:tc>
          <w:tcPr>
            <w:tcW w:w="2972" w:type="dxa"/>
            <w:shd w:val="clear" w:color="auto" w:fill="F2F2F2"/>
            <w:vAlign w:val="center"/>
          </w:tcPr>
          <w:p w14:paraId="44473536" w14:textId="1AFA932C" w:rsidR="003807E2" w:rsidRPr="00EF6A49" w:rsidRDefault="003807E2" w:rsidP="00A0545B">
            <w:pPr>
              <w:pStyle w:val="a4"/>
              <w:spacing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Источник</w:t>
            </w:r>
          </w:p>
        </w:tc>
        <w:tc>
          <w:tcPr>
            <w:tcW w:w="4961" w:type="dxa"/>
            <w:shd w:val="clear" w:color="auto" w:fill="F2F2F2"/>
            <w:vAlign w:val="center"/>
          </w:tcPr>
          <w:p w14:paraId="7AD130F4" w14:textId="7DE71031" w:rsidR="003807E2" w:rsidRPr="00EF6A49" w:rsidRDefault="003807E2" w:rsidP="00A0545B">
            <w:pPr>
              <w:pStyle w:val="a4"/>
              <w:spacing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Положение</w:t>
            </w:r>
          </w:p>
        </w:tc>
      </w:tr>
      <w:tr w:rsidR="003807E2" w:rsidRPr="003807E2" w14:paraId="5E996A45" w14:textId="77777777" w:rsidTr="003807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50" w:type="dxa"/>
              <w:bottom w:w="150" w:type="dxa"/>
              <w:right w:w="105" w:type="dxa"/>
            </w:tcMar>
            <w:hideMark/>
          </w:tcPr>
          <w:p w14:paraId="3EA95915" w14:textId="77777777" w:rsidR="003807E2" w:rsidRPr="003807E2" w:rsidRDefault="003807E2" w:rsidP="003807E2">
            <w:pPr>
              <w:pStyle w:val="a4"/>
              <w:spacing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807E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Пункты 19 и 20 Постановления Пленума Верховного Суда Российской Федерации от 21.12.2010 г. №28 «О судебной экспертизе по уголовным делам»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50" w:type="dxa"/>
              <w:bottom w:w="150" w:type="dxa"/>
              <w:right w:w="105" w:type="dxa"/>
            </w:tcMar>
            <w:hideMark/>
          </w:tcPr>
          <w:p w14:paraId="01CB5BE4" w14:textId="77777777" w:rsidR="003807E2" w:rsidRPr="003807E2" w:rsidRDefault="003807E2" w:rsidP="003807E2">
            <w:pPr>
              <w:pStyle w:val="a4"/>
              <w:spacing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807E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Для оказания помощи в оценке заключения эксперта и допросе эксперта по ходатайству стороны или по инициативе суда может привлекаться специалист. Разъяснения специалист дает в форме устных показаний или письменного заключения.</w:t>
            </w:r>
          </w:p>
          <w:p w14:paraId="7190E476" w14:textId="77777777" w:rsidR="003807E2" w:rsidRPr="003807E2" w:rsidRDefault="003807E2" w:rsidP="003807E2">
            <w:pPr>
              <w:pStyle w:val="a4"/>
              <w:spacing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807E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Обратить внимание судов на то, что заключение и показания специалиста даются на основе использования специальных знаний и, также как заключение и показания эксперта в суде, являются доказательствами по делу (часть 2 статьи 74 УПК РФ).</w:t>
            </w:r>
          </w:p>
        </w:tc>
      </w:tr>
      <w:tr w:rsidR="003807E2" w:rsidRPr="003807E2" w14:paraId="207E95B6" w14:textId="77777777" w:rsidTr="003807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50" w:type="dxa"/>
              <w:bottom w:w="150" w:type="dxa"/>
              <w:right w:w="105" w:type="dxa"/>
            </w:tcMar>
            <w:hideMark/>
          </w:tcPr>
          <w:p w14:paraId="3E8EBD19" w14:textId="77777777" w:rsidR="003807E2" w:rsidRPr="003807E2" w:rsidRDefault="003807E2" w:rsidP="003807E2">
            <w:pPr>
              <w:pStyle w:val="a4"/>
              <w:spacing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807E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Пункт 13 Постановления Пленума ВАС РФ от 04.04.2014 г. №23 «О некоторых вопросах практики применения арбитражными судами законодательства об экспертизе»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50" w:type="dxa"/>
              <w:bottom w:w="150" w:type="dxa"/>
              <w:right w:w="105" w:type="dxa"/>
            </w:tcMar>
            <w:hideMark/>
          </w:tcPr>
          <w:p w14:paraId="04F92E5E" w14:textId="77777777" w:rsidR="003807E2" w:rsidRPr="003807E2" w:rsidRDefault="003807E2" w:rsidP="003807E2">
            <w:pPr>
              <w:pStyle w:val="a4"/>
              <w:spacing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807E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Заключение эксперта по результатам проведения судебной экспертизы, назначенной при рассмотрении иного судебного дела, а равно заключение эксперта, полученное по результатам проведения внесудебной экспертизы, не могут признаваться экспертными заключениями по рассматриваемому делу.</w:t>
            </w:r>
          </w:p>
          <w:p w14:paraId="66748E29" w14:textId="77777777" w:rsidR="003807E2" w:rsidRPr="003807E2" w:rsidRDefault="003807E2" w:rsidP="003807E2">
            <w:pPr>
              <w:pStyle w:val="a4"/>
              <w:spacing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807E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Такое заключение может быть признано судом иным документом, допускаемым в качестве доказательства в соответствии со статьей 89 АПК РФ.</w:t>
            </w:r>
          </w:p>
        </w:tc>
      </w:tr>
      <w:tr w:rsidR="003807E2" w:rsidRPr="003807E2" w14:paraId="6EAD15E8" w14:textId="77777777" w:rsidTr="003807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50" w:type="dxa"/>
              <w:bottom w:w="150" w:type="dxa"/>
              <w:right w:w="105" w:type="dxa"/>
            </w:tcMar>
            <w:hideMark/>
          </w:tcPr>
          <w:p w14:paraId="3342204A" w14:textId="77777777" w:rsidR="003807E2" w:rsidRPr="003807E2" w:rsidRDefault="003807E2" w:rsidP="003807E2">
            <w:pPr>
              <w:pStyle w:val="a4"/>
              <w:spacing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807E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Пункт 21 Постановления Пленума Верховного Суда РФ от 30.06.2015 г. №28 «О некоторых вопросах, возникающих при рассмотрении судами дел об оспаривании результатов определения кадастровой стоимости объектов недвижимости»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50" w:type="dxa"/>
              <w:bottom w:w="150" w:type="dxa"/>
              <w:right w:w="105" w:type="dxa"/>
            </w:tcMar>
            <w:hideMark/>
          </w:tcPr>
          <w:p w14:paraId="0ADD8111" w14:textId="77777777" w:rsidR="003807E2" w:rsidRPr="003807E2" w:rsidRDefault="003807E2" w:rsidP="003807E2">
            <w:pPr>
              <w:pStyle w:val="a4"/>
              <w:spacing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807E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Суд вправе привлечь к участию в деле специалиста для получения консультаций, пояснений и оказания иной технической помощи при исследовании доказательств, в том числе для решения вопроса о необходимости проведения экспертизы (статья 188 ГПК РФ, статьи 50, 169 КАС РФ).</w:t>
            </w:r>
          </w:p>
        </w:tc>
      </w:tr>
      <w:tr w:rsidR="003807E2" w:rsidRPr="003807E2" w14:paraId="06C2109E" w14:textId="77777777" w:rsidTr="003807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50" w:type="dxa"/>
              <w:bottom w:w="150" w:type="dxa"/>
              <w:right w:w="105" w:type="dxa"/>
            </w:tcMar>
            <w:hideMark/>
          </w:tcPr>
          <w:p w14:paraId="012E4FFC" w14:textId="77777777" w:rsidR="003807E2" w:rsidRPr="003807E2" w:rsidRDefault="003807E2" w:rsidP="003807E2">
            <w:pPr>
              <w:pStyle w:val="a4"/>
              <w:spacing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807E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Постановление Арбитражного суда Московского округа ль 03.06.2015 № Ф05-6048/2015 по делу № А40-95395/14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50" w:type="dxa"/>
              <w:bottom w:w="150" w:type="dxa"/>
              <w:right w:w="105" w:type="dxa"/>
            </w:tcMar>
            <w:hideMark/>
          </w:tcPr>
          <w:p w14:paraId="68BF1CD5" w14:textId="77777777" w:rsidR="003807E2" w:rsidRPr="003807E2" w:rsidRDefault="003807E2" w:rsidP="003807E2">
            <w:pPr>
              <w:pStyle w:val="a4"/>
              <w:spacing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807E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Суд установил, что из представленной истцом Рецензии на отчет ХХХ об определении рыночной стоимости товарного знака ХХХ следует, что данный Отчет содержит необоснованные выводы о рыночной стоимости товарного знака и совершен с нарушениями требований </w:t>
            </w:r>
            <w:r w:rsidRPr="003807E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Федерального закона № 135-ФЗ от 29.07.1998 «Об оценочной деятельности в Российской Федерации» и стандартов профессиональной практики.</w:t>
            </w:r>
          </w:p>
        </w:tc>
      </w:tr>
      <w:tr w:rsidR="003807E2" w:rsidRPr="003807E2" w14:paraId="3B8F3FED" w14:textId="77777777" w:rsidTr="003807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50" w:type="dxa"/>
              <w:bottom w:w="150" w:type="dxa"/>
              <w:right w:w="105" w:type="dxa"/>
            </w:tcMar>
            <w:hideMark/>
          </w:tcPr>
          <w:p w14:paraId="5E04384A" w14:textId="77777777" w:rsidR="003807E2" w:rsidRPr="003807E2" w:rsidRDefault="003807E2" w:rsidP="003807E2">
            <w:pPr>
              <w:pStyle w:val="a4"/>
              <w:spacing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807E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Определение Верховного Суда РФ от 28.12.2016 N 305-КГ16-17924 по делу N А40-141360/2015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50" w:type="dxa"/>
              <w:bottom w:w="150" w:type="dxa"/>
              <w:right w:w="105" w:type="dxa"/>
            </w:tcMar>
            <w:hideMark/>
          </w:tcPr>
          <w:p w14:paraId="62F0663E" w14:textId="77777777" w:rsidR="003807E2" w:rsidRPr="003807E2" w:rsidRDefault="003807E2" w:rsidP="003807E2">
            <w:pPr>
              <w:pStyle w:val="a4"/>
              <w:spacing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807E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Кроме того, по результатам оценки представленных в материалы дела доказательств, в том числе рецензии на отчет об оценке ХХХ, и анализируя информацию, содержащуюся в документах по объектам основных средств (ХХХ) в соотношении с информацией, указанной в отчете оценщика ХХХ, суд признал правомерным вывод налогового органа о недостоверности названного отчета.</w:t>
            </w:r>
          </w:p>
        </w:tc>
      </w:tr>
      <w:tr w:rsidR="003807E2" w:rsidRPr="003807E2" w14:paraId="3F5828EA" w14:textId="77777777" w:rsidTr="003807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50" w:type="dxa"/>
              <w:bottom w:w="150" w:type="dxa"/>
              <w:right w:w="105" w:type="dxa"/>
            </w:tcMar>
            <w:hideMark/>
          </w:tcPr>
          <w:p w14:paraId="0194340E" w14:textId="77777777" w:rsidR="003807E2" w:rsidRPr="003807E2" w:rsidRDefault="003807E2" w:rsidP="003807E2">
            <w:pPr>
              <w:pStyle w:val="a4"/>
              <w:spacing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807E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Судебная коллегия по экономическим спорам Верховного Суда РФ по делу № 305-ЭС17-11486 25.01.2018г.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50" w:type="dxa"/>
              <w:bottom w:w="150" w:type="dxa"/>
              <w:right w:w="105" w:type="dxa"/>
            </w:tcMar>
            <w:hideMark/>
          </w:tcPr>
          <w:p w14:paraId="2D9D9F1B" w14:textId="77777777" w:rsidR="003807E2" w:rsidRPr="003807E2" w:rsidRDefault="003807E2" w:rsidP="003807E2">
            <w:pPr>
              <w:pStyle w:val="a4"/>
              <w:spacing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807E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Ходатайство общества о приобщении в материалы дела заключения специалистов …, в котором обоснованность выводов экспертов ставилась под сомнение, судом апелляционной инстанции отклонено, поскольку этот документ не соответствует критериям относимости и допустимости доказательств, предусмотренных статьями 67 и 68 Арбитражного процессуального кодекса Российской Федерации.</w:t>
            </w:r>
          </w:p>
          <w:p w14:paraId="12ED941F" w14:textId="77777777" w:rsidR="003807E2" w:rsidRPr="003807E2" w:rsidRDefault="003807E2" w:rsidP="003807E2">
            <w:pPr>
              <w:pStyle w:val="a4"/>
              <w:spacing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807E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приобщив указанный документ и не дав оценку его содержательной части, суд лишил сторону возможности доказать свои возражения в части объема выполненных работ и обоснованности встречного иска. В этой связи нельзя признать правомерным и отказ суда в проведении повторной экспертизы.</w:t>
            </w:r>
          </w:p>
        </w:tc>
      </w:tr>
    </w:tbl>
    <w:p w14:paraId="26374929" w14:textId="77777777" w:rsidR="00AD2A7F" w:rsidRPr="003807E2" w:rsidRDefault="00AD2A7F" w:rsidP="003807E2">
      <w:pPr>
        <w:pStyle w:val="a4"/>
        <w:spacing w:after="0" w:afterAutospacing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sectPr w:rsidR="00AD2A7F" w:rsidRPr="0038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E2"/>
    <w:rsid w:val="00016DCD"/>
    <w:rsid w:val="00020EF6"/>
    <w:rsid w:val="00054F6A"/>
    <w:rsid w:val="00055008"/>
    <w:rsid w:val="00096370"/>
    <w:rsid w:val="000B3034"/>
    <w:rsid w:val="000B5CDE"/>
    <w:rsid w:val="000D2402"/>
    <w:rsid w:val="000D64C1"/>
    <w:rsid w:val="000E24CD"/>
    <w:rsid w:val="000E4B94"/>
    <w:rsid w:val="000E550B"/>
    <w:rsid w:val="000F61B5"/>
    <w:rsid w:val="0011753A"/>
    <w:rsid w:val="00197961"/>
    <w:rsid w:val="001A4524"/>
    <w:rsid w:val="001A564F"/>
    <w:rsid w:val="001C43F0"/>
    <w:rsid w:val="00203422"/>
    <w:rsid w:val="00271DED"/>
    <w:rsid w:val="002811BF"/>
    <w:rsid w:val="0029135D"/>
    <w:rsid w:val="00294626"/>
    <w:rsid w:val="002D4166"/>
    <w:rsid w:val="002E4514"/>
    <w:rsid w:val="002E708A"/>
    <w:rsid w:val="002E7FED"/>
    <w:rsid w:val="00314B50"/>
    <w:rsid w:val="00331FA7"/>
    <w:rsid w:val="003403D6"/>
    <w:rsid w:val="003807E2"/>
    <w:rsid w:val="00385699"/>
    <w:rsid w:val="00392B65"/>
    <w:rsid w:val="003C4FF4"/>
    <w:rsid w:val="003C57D6"/>
    <w:rsid w:val="00423F43"/>
    <w:rsid w:val="004531F8"/>
    <w:rsid w:val="00472CD1"/>
    <w:rsid w:val="00480DE2"/>
    <w:rsid w:val="004A3C53"/>
    <w:rsid w:val="004B6F6B"/>
    <w:rsid w:val="004D6575"/>
    <w:rsid w:val="005578D1"/>
    <w:rsid w:val="005654D8"/>
    <w:rsid w:val="00576CC9"/>
    <w:rsid w:val="005A3553"/>
    <w:rsid w:val="005A360C"/>
    <w:rsid w:val="005E0CD2"/>
    <w:rsid w:val="005E32D7"/>
    <w:rsid w:val="0060364B"/>
    <w:rsid w:val="00636ABF"/>
    <w:rsid w:val="00645488"/>
    <w:rsid w:val="00647720"/>
    <w:rsid w:val="0066142B"/>
    <w:rsid w:val="006A045C"/>
    <w:rsid w:val="006A10C5"/>
    <w:rsid w:val="006B3E8F"/>
    <w:rsid w:val="006C3EA6"/>
    <w:rsid w:val="00781610"/>
    <w:rsid w:val="007F57EE"/>
    <w:rsid w:val="007F76AF"/>
    <w:rsid w:val="00853098"/>
    <w:rsid w:val="00864077"/>
    <w:rsid w:val="00873B92"/>
    <w:rsid w:val="008A09FC"/>
    <w:rsid w:val="008A3397"/>
    <w:rsid w:val="008A6A96"/>
    <w:rsid w:val="008A7046"/>
    <w:rsid w:val="008B70FB"/>
    <w:rsid w:val="008E2BC2"/>
    <w:rsid w:val="00943097"/>
    <w:rsid w:val="00954F65"/>
    <w:rsid w:val="009716A7"/>
    <w:rsid w:val="00995DFA"/>
    <w:rsid w:val="009A1938"/>
    <w:rsid w:val="00A248C5"/>
    <w:rsid w:val="00A95942"/>
    <w:rsid w:val="00AB28EF"/>
    <w:rsid w:val="00AB61A9"/>
    <w:rsid w:val="00AC1345"/>
    <w:rsid w:val="00AC59F0"/>
    <w:rsid w:val="00AD2A7F"/>
    <w:rsid w:val="00B01960"/>
    <w:rsid w:val="00B07DB9"/>
    <w:rsid w:val="00B62875"/>
    <w:rsid w:val="00B652EE"/>
    <w:rsid w:val="00B658C0"/>
    <w:rsid w:val="00B70313"/>
    <w:rsid w:val="00B84D36"/>
    <w:rsid w:val="00B914F2"/>
    <w:rsid w:val="00B916EB"/>
    <w:rsid w:val="00BB00BD"/>
    <w:rsid w:val="00C07344"/>
    <w:rsid w:val="00C37DB3"/>
    <w:rsid w:val="00C400AF"/>
    <w:rsid w:val="00C659DF"/>
    <w:rsid w:val="00C72310"/>
    <w:rsid w:val="00C74EB8"/>
    <w:rsid w:val="00C76669"/>
    <w:rsid w:val="00CB5D84"/>
    <w:rsid w:val="00CD3A62"/>
    <w:rsid w:val="00DA049A"/>
    <w:rsid w:val="00DB6088"/>
    <w:rsid w:val="00DC51BA"/>
    <w:rsid w:val="00DE6F2D"/>
    <w:rsid w:val="00E2601F"/>
    <w:rsid w:val="00E275BD"/>
    <w:rsid w:val="00E659D4"/>
    <w:rsid w:val="00E83E5C"/>
    <w:rsid w:val="00EA417B"/>
    <w:rsid w:val="00EA7754"/>
    <w:rsid w:val="00EC719E"/>
    <w:rsid w:val="00ED15DB"/>
    <w:rsid w:val="00EF5A93"/>
    <w:rsid w:val="00F01C64"/>
    <w:rsid w:val="00F3274E"/>
    <w:rsid w:val="00F4134D"/>
    <w:rsid w:val="00F52FFD"/>
    <w:rsid w:val="00F6313E"/>
    <w:rsid w:val="00FE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5C388"/>
  <w15:chartTrackingRefBased/>
  <w15:docId w15:val="{7FBDFC3E-97DA-4826-A00C-F35711C3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7E2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7E2"/>
    <w:rPr>
      <w:b/>
      <w:bCs/>
    </w:rPr>
  </w:style>
  <w:style w:type="paragraph" w:styleId="a4">
    <w:name w:val="Normal (Web)"/>
    <w:basedOn w:val="a"/>
    <w:unhideWhenUsed/>
    <w:rsid w:val="003807E2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5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Потоцкая</dc:creator>
  <cp:keywords/>
  <dc:description/>
  <cp:lastModifiedBy>Арина Потоцкая</cp:lastModifiedBy>
  <cp:revision>1</cp:revision>
  <dcterms:created xsi:type="dcterms:W3CDTF">2021-03-29T09:25:00Z</dcterms:created>
  <dcterms:modified xsi:type="dcterms:W3CDTF">2021-03-29T09:29:00Z</dcterms:modified>
</cp:coreProperties>
</file>