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C0" w:rsidRPr="004B16C0" w:rsidRDefault="004B16C0">
      <w:pPr>
        <w:pStyle w:val="ConsPlusTitle"/>
        <w:jc w:val="center"/>
      </w:pPr>
      <w:bookmarkStart w:id="0" w:name="_GoBack"/>
      <w:bookmarkEnd w:id="0"/>
      <w:r w:rsidRPr="004B16C0">
        <w:t>МИНИСТЕРСТВО ЭКОНОМИЧЕСКОГО РАЗВИТИЯ РОССИЙСКОЙ ФЕДЕРАЦИИ</w:t>
      </w:r>
    </w:p>
    <w:p w:rsidR="004B16C0" w:rsidRPr="004B16C0" w:rsidRDefault="004B16C0">
      <w:pPr>
        <w:pStyle w:val="ConsPlusTitle"/>
        <w:jc w:val="center"/>
      </w:pPr>
    </w:p>
    <w:p w:rsidR="004B16C0" w:rsidRPr="004B16C0" w:rsidRDefault="004B16C0">
      <w:pPr>
        <w:pStyle w:val="ConsPlusTitle"/>
        <w:jc w:val="center"/>
      </w:pPr>
      <w:r w:rsidRPr="004B16C0">
        <w:t>ПРИКАЗ</w:t>
      </w:r>
    </w:p>
    <w:p w:rsidR="004B16C0" w:rsidRPr="004B16C0" w:rsidRDefault="004B16C0">
      <w:pPr>
        <w:pStyle w:val="ConsPlusTitle"/>
        <w:jc w:val="center"/>
      </w:pPr>
      <w:r w:rsidRPr="004B16C0">
        <w:t>от 1 июня 2015 г. N 328</w:t>
      </w:r>
    </w:p>
    <w:p w:rsidR="004B16C0" w:rsidRPr="004B16C0" w:rsidRDefault="004B16C0">
      <w:pPr>
        <w:pStyle w:val="ConsPlusTitle"/>
        <w:jc w:val="center"/>
      </w:pPr>
    </w:p>
    <w:p w:rsidR="004B16C0" w:rsidRPr="004B16C0" w:rsidRDefault="004B16C0">
      <w:pPr>
        <w:pStyle w:val="ConsPlusTitle"/>
        <w:jc w:val="center"/>
      </w:pPr>
      <w:r w:rsidRPr="004B16C0">
        <w:t>ОБ УТВЕРЖДЕНИИ ФЕДЕРАЛЬНОГО СТАНДАРТА</w:t>
      </w:r>
    </w:p>
    <w:p w:rsidR="004B16C0" w:rsidRPr="004B16C0" w:rsidRDefault="004B16C0">
      <w:pPr>
        <w:pStyle w:val="ConsPlusTitle"/>
        <w:jc w:val="center"/>
      </w:pPr>
      <w:r w:rsidRPr="004B16C0">
        <w:t>ОЦЕНКИ "ОЦЕНКА СТОИМОСТИ МАШИН И ОБОРУДОВАНИЯ (ФСО N 10)"</w:t>
      </w:r>
    </w:p>
    <w:p w:rsidR="004B16C0" w:rsidRPr="004B16C0" w:rsidRDefault="004B16C0">
      <w:pPr>
        <w:pStyle w:val="ConsPlusNormal"/>
        <w:jc w:val="center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В соответствии со </w:t>
      </w:r>
      <w:hyperlink r:id="rId4" w:history="1">
        <w:r w:rsidRPr="004B16C0">
          <w:t>статьей 20</w:t>
        </w:r>
      </w:hyperlink>
      <w:r w:rsidRPr="004B16C0"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1. Утвердить прилагаемый Федеральный </w:t>
      </w:r>
      <w:hyperlink w:anchor="P24" w:history="1">
        <w:r w:rsidRPr="004B16C0">
          <w:t>стандарт</w:t>
        </w:r>
      </w:hyperlink>
      <w:r w:rsidRPr="004B16C0">
        <w:t xml:space="preserve"> оценки "Оценка стоимости машин и оборудования (ФСО N 10)".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2. Настоящий приказ вступает в силу со дня вступления в силу приказов Минэкономразвития России от 20 мая 2015 г. </w:t>
      </w:r>
      <w:hyperlink r:id="rId5" w:history="1">
        <w:r w:rsidRPr="004B16C0">
          <w:t>N 297</w:t>
        </w:r>
      </w:hyperlink>
      <w:r w:rsidRPr="004B16C0">
        <w:t xml:space="preserve"> "Об утверждении Федерального стандарта оценки "Общие понятия оценки, подходы и требования к проведению оценки (ФСО N 1)", от 20 мая 2015 г. </w:t>
      </w:r>
      <w:hyperlink r:id="rId6" w:history="1">
        <w:r w:rsidRPr="004B16C0">
          <w:t>N 298</w:t>
        </w:r>
      </w:hyperlink>
      <w:r w:rsidRPr="004B16C0">
        <w:t xml:space="preserve"> "Об утверждении Федерального стандарта оценки "Цель оценки и виды стоимости (ФСО N 2)", от 20 мая 2015 г. </w:t>
      </w:r>
      <w:hyperlink r:id="rId7" w:history="1">
        <w:r w:rsidRPr="004B16C0">
          <w:t>N 299</w:t>
        </w:r>
      </w:hyperlink>
      <w:r w:rsidRPr="004B16C0">
        <w:t xml:space="preserve"> "Об утверждении Федерального стандарта оценки "Требования к отчету об оценке (ФСО N 3)".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right"/>
      </w:pPr>
      <w:r w:rsidRPr="004B16C0">
        <w:t>Министр</w:t>
      </w:r>
    </w:p>
    <w:p w:rsidR="004B16C0" w:rsidRPr="004B16C0" w:rsidRDefault="004B16C0">
      <w:pPr>
        <w:pStyle w:val="ConsPlusNormal"/>
        <w:jc w:val="right"/>
      </w:pPr>
      <w:r w:rsidRPr="004B16C0">
        <w:t>А.В.УЛЮКАЕВ</w:t>
      </w: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</w:p>
    <w:p w:rsidR="004B16C0" w:rsidRPr="004B16C0" w:rsidRDefault="004B16C0">
      <w:pPr>
        <w:pStyle w:val="ConsPlusNormal"/>
        <w:jc w:val="right"/>
      </w:pPr>
      <w:r w:rsidRPr="004B16C0">
        <w:t>Утвержден</w:t>
      </w:r>
    </w:p>
    <w:p w:rsidR="004B16C0" w:rsidRPr="004B16C0" w:rsidRDefault="004B16C0">
      <w:pPr>
        <w:pStyle w:val="ConsPlusNormal"/>
        <w:jc w:val="right"/>
      </w:pPr>
      <w:r w:rsidRPr="004B16C0">
        <w:t>приказом Минэкономразвития России</w:t>
      </w:r>
    </w:p>
    <w:p w:rsidR="004B16C0" w:rsidRPr="004B16C0" w:rsidRDefault="004B16C0">
      <w:pPr>
        <w:pStyle w:val="ConsPlusNormal"/>
        <w:jc w:val="right"/>
      </w:pPr>
      <w:r w:rsidRPr="004B16C0">
        <w:t>от 1 июня 2015 г. N 328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Title"/>
        <w:jc w:val="center"/>
      </w:pPr>
      <w:bookmarkStart w:id="1" w:name="P24"/>
      <w:bookmarkEnd w:id="1"/>
      <w:r w:rsidRPr="004B16C0">
        <w:t>ФЕДЕРАЛЬНЫЙ СТАНДАРТ</w:t>
      </w:r>
    </w:p>
    <w:p w:rsidR="004B16C0" w:rsidRPr="004B16C0" w:rsidRDefault="004B16C0">
      <w:pPr>
        <w:pStyle w:val="ConsPlusTitle"/>
        <w:jc w:val="center"/>
      </w:pPr>
      <w:r w:rsidRPr="004B16C0">
        <w:t>ОЦЕНКИ "ОЦЕНКА СТОИМОСТИ МАШИН И ОБОРУДОВАНИЯ (ФСО N 10)"</w:t>
      </w:r>
    </w:p>
    <w:p w:rsidR="004B16C0" w:rsidRPr="004B16C0" w:rsidRDefault="004B16C0">
      <w:pPr>
        <w:pStyle w:val="ConsPlusNormal"/>
        <w:jc w:val="center"/>
      </w:pPr>
    </w:p>
    <w:p w:rsidR="004B16C0" w:rsidRPr="004B16C0" w:rsidRDefault="004B16C0">
      <w:pPr>
        <w:pStyle w:val="ConsPlusNormal"/>
        <w:jc w:val="center"/>
      </w:pPr>
      <w:r w:rsidRPr="004B16C0">
        <w:t>I. Общие положения</w:t>
      </w:r>
    </w:p>
    <w:p w:rsidR="004B16C0" w:rsidRPr="004B16C0" w:rsidRDefault="004B16C0">
      <w:pPr>
        <w:pStyle w:val="ConsPlusNormal"/>
        <w:jc w:val="center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1. Настоящий Федеральный стандарт оценки разработан с учетом международных стандартов оценки и федеральных стандартов оценки "Общие понятия оценки, подходы и требования к проведению оценки </w:t>
      </w:r>
      <w:hyperlink r:id="rId8" w:history="1">
        <w:r w:rsidRPr="004B16C0">
          <w:t>(ФСО N 1)</w:t>
        </w:r>
      </w:hyperlink>
      <w:r w:rsidRPr="004B16C0">
        <w:t xml:space="preserve">", "Цель оценки и виды стоимости </w:t>
      </w:r>
      <w:hyperlink r:id="rId9" w:history="1">
        <w:r w:rsidRPr="004B16C0">
          <w:t>(ФСО N 2)</w:t>
        </w:r>
      </w:hyperlink>
      <w:r w:rsidRPr="004B16C0">
        <w:t xml:space="preserve">", "Требования к отчету об оценке </w:t>
      </w:r>
      <w:hyperlink r:id="rId10" w:history="1">
        <w:r w:rsidRPr="004B16C0">
          <w:t>(ФСО N 3)</w:t>
        </w:r>
      </w:hyperlink>
      <w:r w:rsidRPr="004B16C0">
        <w:t>" (далее соответственно - ФСО N 1, ФСО N 2, ФСО N 3), иных федеральных стандартов оценки, регулирующих оценку отдельных видов объектов оценки, утвержденных Минэкономразвития России, определяет требования к проведению оценки стоимости машин и оборудования.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2. Если объектом оценки в задании на оценку не являются непосредственно машины и оборудование, но машины и оборудование являются частью объекта оценки, то действие настоящего Федерального стандарта оценки распространяется на процедуру оценки таких машин и оборудования только тогда, когда в задании на оценку предусматривается использование настоящего Федерального стандарта оценки с указанием перечня машин и оборудования, на который распространяются данные требования.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3. Положения настоящего Федерального стандарта оценки не распространяются на оценку нематериальных активов, связанных с созданием и эксплуатацией машин и оборудования; машин и оборудования, имеющих художественную и (или) историческую ценность, а также работ и услуг по устранению повреждений, возникших в результате аварийных ситуаций (например, ущербов от аварий транспортных средств).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4. Если эксплуатация машин и оборудования невозможна без использования нематериальных активов (программных средств, специализированных баз данных, лицензий, </w:t>
      </w:r>
      <w:r w:rsidRPr="004B16C0">
        <w:lastRenderedPageBreak/>
        <w:t>технической документации и так далее), то в зависимости от задания на оценку стоимость нематериальных активов следует учитывать отдельно или в составе стоимости машин и оборудования.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r w:rsidRPr="004B16C0">
        <w:t>II. Объекты оценки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>5. Для целей настоящего Федерального стандарта оценки к объектам оценки относятся отдельные машины и единицы оборудования, являющиеся изделиями машиностроительного производства или аналогичными им, группы (множества, совокупности) машин и оборудования, части машин и оборудования вместе или по отдельности (далее - машины и оборудование).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Для целей настоящего Федерального стандарта оценки объектами оценки могут выступать подлежащие государственной регистрации воздушные и морские суда, суда внутреннего плавания, космические объекты.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r w:rsidRPr="004B16C0">
        <w:t>III. Задание на оценку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6. Задание на оценку объекта оценки должно содержать следующую дополнительную к указанной в </w:t>
      </w:r>
      <w:hyperlink r:id="rId11" w:history="1">
        <w:r w:rsidRPr="004B16C0">
          <w:t>ФСО N 1</w:t>
        </w:r>
      </w:hyperlink>
      <w:r w:rsidRPr="004B16C0">
        <w:t xml:space="preserve"> информацию об объекте оценки: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информацию по учету нематериальных активов, необходимых для эксплуатации машин и оборудования (при наличии таких активов).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7. Задание на оценку объекта оценки может содержать следующую дополнительную к указанной в </w:t>
      </w:r>
      <w:hyperlink r:id="rId12" w:history="1">
        <w:r w:rsidRPr="004B16C0">
          <w:t>ФСО N 1</w:t>
        </w:r>
      </w:hyperlink>
      <w:r w:rsidRPr="004B16C0">
        <w:t xml:space="preserve"> информацию в части допущений, на которых должна основываться оценка: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допущение, связанное с ограничением объема работ по осмотру оцениваемых машин и единиц оборудования;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допущение, связанное с ограничением объема работ по анализу рынка;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 об оценке машин и оборудования как единого целого при условии продолжения их использования в составе действующего имущественного комплекса;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 об оценке машин и оборудования как единого целого при условии прекращения их использования в составе действующего имущественного комплекса;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допущение об оценке машин и оборудования при условии перемещения с их текущего местоположения как отдельных объектов;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в случае наличия интегрированное машин и оборудования с другими объектами, в частности, недвижимости, - допущение об оценке машин и оборудования в составе таких объектов или отдельно от них.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8. Задание на оценку устанавливает степень детализации работ по осмотру (полный, частичный с указанием критериев, без проведения осмотра) и период проведения осмотра. В случае непроведения осмотра оценщик указывает в отчете об оценке причины, по которым объект оценки не осмотрен, а также допущения, связанные с непроведением осмотра.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9. 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обременений, если в задании на оценку не указано иное.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r w:rsidRPr="004B16C0">
        <w:t>IV. Анализ рынка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>10. Для оценки стоимости машин и оборудования оценщик исследует рынок в тех его сегментах, в которых может быть реализована наиболее значимая по стоимости часть оцениваемых машин и единиц оборудования. Исследуются сегменты как первичного, так и вторичного рынка, если для объекта оценки эти виды рынка существуют.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r w:rsidRPr="004B16C0">
        <w:t>V. Подходы к оценке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11. Для объекта оценки, представляющего собой множество машин и оборудования, могут быть использованы методы как индивидуальной, так и массовой оценки. 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</w:t>
      </w:r>
      <w:r w:rsidRPr="004B16C0">
        <w:lastRenderedPageBreak/>
        <w:t>применения в рамках сформированных групп общих математических моделей. В качестве итогового результата рассматривается стоимость объекта оценки как единого целого.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12. При оценке машин и оборудования с применением затратного и сравнительного подходов допускается использование ценовой информации о событиях, произошедших с объектами-аналогами после даты оценки, например, путем обратной ценовой индексации.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корректировки. Использование такой ценовой информации допустимо, если оценщиком проведен и раскрыт в отчете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13. При наличии развитого и активного рынка объектов-аналогов, позволяющего получить необходимый для оценки объем данных о ценах и характеристиках объектов-аналогов, может быть сделан вывод о достаточности применения только сравнительного подхода. Недостаток рыночной информации, необходимой для сравнительного подхода, является основанием для отказа от его использования.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14. При применении затратного подхода к оценке машин и оборудования оценщик учитывает следующие положения: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а) при оценке специализированных машин и оборудования целесообразно применять затратный подход. Специализированные машины и оборудование - 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б) затраты на воспроизводство машин и оборудования (без учета износа и </w:t>
      </w:r>
      <w:proofErr w:type="spellStart"/>
      <w:r w:rsidRPr="004B16C0">
        <w:t>устареваний</w:t>
      </w:r>
      <w:proofErr w:type="spellEnd"/>
      <w:r w:rsidRPr="004B16C0">
        <w:t xml:space="preserve">) определяются на основе сравнения с затратами на создание или производство либо приобретение точной копии объекта оценки. Затраты на замещение машин и оборудования (без учета износа и </w:t>
      </w:r>
      <w:proofErr w:type="spellStart"/>
      <w:r w:rsidRPr="004B16C0">
        <w:t>устареваний</w:t>
      </w:r>
      <w:proofErr w:type="spellEnd"/>
      <w:r w:rsidRPr="004B16C0">
        <w:t>) определяются на основе сравнения с затратами на создание или производство либо приобретение объекта, имеющего аналогичные полезные свойства;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в) точной копией объекта оценки для целей оценки машин и оборудования признается объект, у которого совпадают с объектом оценки, как минимум, следующие признаки: наименование, обозначение модели (модификации), основные технические характеристики;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г) объектом, имеющим аналогичные полезные свойства, для целей оценки машин и оборудования признается объект, у которого имеется сходство с объектом оценки по функциональному назначению, принципу действия, конструктивной схеме;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д) при применении затратного подхода рассчитывается накопленный совокупный износ оцениваемой машины или единицы оборудования, интегрирующий физический износ, функциональное и экономическое устаревания, при этом учитываются особенности обесценения при разных условиях эксплуатации, а также с учетом принятых допущений, на которых основывается оценка, максимально ориентируясь на рыночные данные.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15. При применении доходного подхода к оценке машин и оборудования оценщик учитывает следующие положения:</w:t>
      </w:r>
    </w:p>
    <w:p w:rsidR="004B16C0" w:rsidRPr="004B16C0" w:rsidRDefault="004B16C0">
      <w:pPr>
        <w:pStyle w:val="ConsPlusNormal"/>
        <w:ind w:firstLine="540"/>
        <w:jc w:val="both"/>
      </w:pPr>
      <w:r w:rsidRPr="004B16C0">
        <w:t>доходный подход при оценке машин и оборудования может использоваться там, где распределенные во времени выгоды от его использования могут быть оценены в денежном выражении либо непосредственно, либо как соответствующая часть выгод, генерируемых более непосредственно, либо как соответствующая часть выгод, генерируемых более широким комплексом объектов, включающим оцениваемый объект и производящим продукт (товар, работу или услугу).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r w:rsidRPr="004B16C0">
        <w:t>VI. Согласование результатов оценки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16. Согласование результатов оценки машин и оборудования, полученных с использованием различных методов и подходов к оценке, и отражение его результатов в отчете об оценке осуществляются в соответствии с требованиями </w:t>
      </w:r>
      <w:hyperlink r:id="rId13" w:history="1">
        <w:r w:rsidRPr="004B16C0">
          <w:t>ФСО N 1</w:t>
        </w:r>
      </w:hyperlink>
      <w:r w:rsidRPr="004B16C0">
        <w:t>.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jc w:val="center"/>
      </w:pPr>
      <w:r w:rsidRPr="004B16C0">
        <w:t>VII. Заключительные положения</w:t>
      </w:r>
    </w:p>
    <w:p w:rsidR="004B16C0" w:rsidRPr="004B16C0" w:rsidRDefault="004B16C0">
      <w:pPr>
        <w:pStyle w:val="ConsPlusNormal"/>
        <w:ind w:firstLine="540"/>
        <w:jc w:val="both"/>
      </w:pPr>
    </w:p>
    <w:p w:rsidR="004B16C0" w:rsidRPr="004B16C0" w:rsidRDefault="004B16C0">
      <w:pPr>
        <w:pStyle w:val="ConsPlusNormal"/>
        <w:ind w:firstLine="540"/>
        <w:jc w:val="both"/>
      </w:pPr>
      <w:r w:rsidRPr="004B16C0">
        <w:t xml:space="preserve">17. В случае расхождений между требованиями настоящего Федерального стандарта оценки с требованиями </w:t>
      </w:r>
      <w:hyperlink r:id="rId14" w:history="1">
        <w:r w:rsidRPr="004B16C0">
          <w:t>ФСО N 1</w:t>
        </w:r>
      </w:hyperlink>
      <w:r w:rsidRPr="004B16C0">
        <w:t xml:space="preserve">, </w:t>
      </w:r>
      <w:hyperlink r:id="rId15" w:history="1">
        <w:r w:rsidRPr="004B16C0">
          <w:t>ФСО N 2</w:t>
        </w:r>
      </w:hyperlink>
      <w:r w:rsidRPr="004B16C0">
        <w:t xml:space="preserve">, </w:t>
      </w:r>
      <w:hyperlink r:id="rId16" w:history="1">
        <w:r w:rsidRPr="004B16C0">
          <w:t>ФСО N 3</w:t>
        </w:r>
      </w:hyperlink>
      <w:r w:rsidRPr="004B16C0">
        <w:t xml:space="preserve"> и других федеральных стандартов оценки, регулирующих оценку отдельных видов объектов оценки, утвержденных Минэкономразвития </w:t>
      </w:r>
      <w:r w:rsidRPr="004B16C0">
        <w:lastRenderedPageBreak/>
        <w:t>России, приоритет имеет настоящий Федеральный стандарт оценки.</w:t>
      </w:r>
    </w:p>
    <w:p w:rsidR="004B16C0" w:rsidRPr="004B16C0" w:rsidRDefault="004B16C0">
      <w:pPr>
        <w:pStyle w:val="ConsPlusNormal"/>
        <w:ind w:firstLine="540"/>
        <w:jc w:val="both"/>
      </w:pPr>
    </w:p>
    <w:sectPr w:rsidR="004B16C0" w:rsidRPr="004B16C0" w:rsidSect="00FD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0"/>
    <w:rsid w:val="00344A24"/>
    <w:rsid w:val="00436C7C"/>
    <w:rsid w:val="004B16C0"/>
    <w:rsid w:val="00810B4D"/>
    <w:rsid w:val="009F03EB"/>
    <w:rsid w:val="00D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D3E8-F2CD-4AA5-85DA-F3615D9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B16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B16C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3B631569B3301629267C42C18B8D0F6D44BFAD25400265Ak9F3L" TargetMode="External"/><Relationship Id="rId13" Type="http://schemas.openxmlformats.org/officeDocument/2006/relationships/hyperlink" Target="consultantplus://offline/ref=C1108D8B1C0B0FCA4017E8CAB92ABF9A53B631569B3301629267C42C18B8D0F6D44BFAD25400265Ak9F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08D8B1C0B0FCA4017E8CAB92ABF9A53B63156983E01629267C42C18kBF8L" TargetMode="External"/><Relationship Id="rId12" Type="http://schemas.openxmlformats.org/officeDocument/2006/relationships/hyperlink" Target="consultantplus://offline/ref=C1108D8B1C0B0FCA4017E8CAB92ABF9A53B631569B3301629267C42C18B8D0F6D44BFAD25400265Ak9F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108D8B1C0B0FCA4017E8CAB92ABF9A53B63156983E01629267C42C18B8D0F6D44BFAD25400265Ak9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08D8B1C0B0FCA4017E8CAB92ABF9A53B631569B3601629267C42C18kBF8L" TargetMode="External"/><Relationship Id="rId11" Type="http://schemas.openxmlformats.org/officeDocument/2006/relationships/hyperlink" Target="consultantplus://offline/ref=C1108D8B1C0B0FCA4017E8CAB92ABF9A53B631569B3301629267C42C18B8D0F6D44BFAD25400265Ak9F3L" TargetMode="External"/><Relationship Id="rId5" Type="http://schemas.openxmlformats.org/officeDocument/2006/relationships/hyperlink" Target="consultantplus://offline/ref=C1108D8B1C0B0FCA4017E8CAB92ABF9A53B631569B3301629267C42C18kBF8L" TargetMode="External"/><Relationship Id="rId15" Type="http://schemas.openxmlformats.org/officeDocument/2006/relationships/hyperlink" Target="consultantplus://offline/ref=C1108D8B1C0B0FCA4017E8CAB92ABF9A53B631569B3601629267C42C18B8D0F6D44BFAD25400265Ak9F3L" TargetMode="External"/><Relationship Id="rId10" Type="http://schemas.openxmlformats.org/officeDocument/2006/relationships/hyperlink" Target="consultantplus://offline/ref=C1108D8B1C0B0FCA4017E8CAB92ABF9A53B63156983E01629267C42C18B8D0F6D44BFAD25400265Ak9F3L" TargetMode="External"/><Relationship Id="rId4" Type="http://schemas.openxmlformats.org/officeDocument/2006/relationships/hyperlink" Target="consultantplus://offline/ref=C1108D8B1C0B0FCA4017E8CAB92ABF9A53B6335E953E01629267C42C18B8D0F6D44BFAD25400205Bk9FCL" TargetMode="External"/><Relationship Id="rId9" Type="http://schemas.openxmlformats.org/officeDocument/2006/relationships/hyperlink" Target="consultantplus://offline/ref=C1108D8B1C0B0FCA4017E8CAB92ABF9A53B631569B3601629267C42C18B8D0F6D44BFAD25400265Ak9F3L" TargetMode="External"/><Relationship Id="rId14" Type="http://schemas.openxmlformats.org/officeDocument/2006/relationships/hyperlink" Target="consultantplus://offline/ref=C1108D8B1C0B0FCA4017E8CAB92ABF9A53B631569B3301629267C42C18B8D0F6D44BFAD25400265Ak9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Арина Потоцкая</cp:lastModifiedBy>
  <cp:revision>2</cp:revision>
  <dcterms:created xsi:type="dcterms:W3CDTF">2018-04-25T10:49:00Z</dcterms:created>
  <dcterms:modified xsi:type="dcterms:W3CDTF">2018-04-25T10:49:00Z</dcterms:modified>
</cp:coreProperties>
</file>