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0A0" w:firstRow="1" w:lastRow="0" w:firstColumn="1" w:lastColumn="0" w:noHBand="0" w:noVBand="0"/>
      </w:tblPr>
      <w:tblGrid>
        <w:gridCol w:w="5211"/>
        <w:gridCol w:w="4961"/>
      </w:tblGrid>
      <w:tr w:rsidR="00535488" w:rsidRPr="004B047E" w:rsidTr="006C40AB">
        <w:trPr>
          <w:trHeight w:val="709"/>
        </w:trPr>
        <w:tc>
          <w:tcPr>
            <w:tcW w:w="5211" w:type="dxa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Book Antiqua" w:eastAsia="Times New Roman" w:hAnsi="Book Antiqua" w:cs="Book Antiqu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66975" cy="723900"/>
                  <wp:effectExtent l="19050" t="0" r="9525" b="0"/>
                  <wp:docPr id="7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6C40AB" w:rsidRDefault="006C40AB" w:rsidP="006C4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67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Председателю Государственной думы Российской Федерации</w:t>
            </w:r>
          </w:p>
          <w:p w:rsidR="006C40AB" w:rsidRPr="0061672B" w:rsidRDefault="006C40AB" w:rsidP="006C40AB">
            <w:p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C40AB" w:rsidRPr="0061672B" w:rsidRDefault="006C40AB" w:rsidP="006C4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С.Е. Нарышкину</w:t>
            </w:r>
          </w:p>
          <w:p w:rsidR="006C40AB" w:rsidRPr="0061672B" w:rsidRDefault="006C40AB" w:rsidP="006C40AB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5488" w:rsidRPr="004B047E" w:rsidRDefault="006C40AB" w:rsidP="006C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72B">
              <w:rPr>
                <w:rFonts w:ascii="Times New Roman" w:hAnsi="Times New Roman" w:cs="Times New Roman"/>
                <w:sz w:val="26"/>
                <w:szCs w:val="26"/>
              </w:rPr>
              <w:t>103265, Москва, ул. Охотный ряд, д. 1</w:t>
            </w:r>
          </w:p>
        </w:tc>
      </w:tr>
      <w:tr w:rsidR="00535488" w:rsidRPr="004B047E" w:rsidTr="006C40AB">
        <w:tc>
          <w:tcPr>
            <w:tcW w:w="5211" w:type="dxa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2060"/>
                <w:sz w:val="24"/>
                <w:szCs w:val="24"/>
              </w:rPr>
            </w:pPr>
            <w:r w:rsidRPr="00535488">
              <w:rPr>
                <w:rFonts w:ascii="Book Antiqua" w:eastAsia="Times New Roman" w:hAnsi="Book Antiqua" w:cs="Book Antiqua"/>
                <w:b/>
                <w:bCs/>
                <w:color w:val="002060"/>
                <w:sz w:val="24"/>
                <w:szCs w:val="24"/>
              </w:rPr>
              <w:t>Некоммерческое партнерство</w:t>
            </w:r>
          </w:p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2060"/>
                <w:sz w:val="24"/>
                <w:szCs w:val="24"/>
              </w:rPr>
            </w:pPr>
            <w:r w:rsidRPr="00535488">
              <w:rPr>
                <w:rFonts w:ascii="Book Antiqua" w:eastAsia="Times New Roman" w:hAnsi="Book Antiqua" w:cs="Book Antiqua"/>
                <w:b/>
                <w:bCs/>
                <w:color w:val="002060"/>
                <w:sz w:val="24"/>
                <w:szCs w:val="24"/>
              </w:rPr>
              <w:t>«Саморегулируемая организация оценщиков</w:t>
            </w:r>
            <w:r w:rsidRPr="00535488">
              <w:rPr>
                <w:rFonts w:ascii="Book Antiqua" w:eastAsia="Times New Roman" w:hAnsi="Book Antiqua" w:cs="Book Antiqua"/>
                <w:b/>
                <w:bCs/>
                <w:color w:val="002060"/>
                <w:sz w:val="24"/>
                <w:szCs w:val="24"/>
              </w:rPr>
              <w:br/>
            </w:r>
            <w:r w:rsidRPr="00535488">
              <w:rPr>
                <w:rFonts w:ascii="Book Antiqua" w:eastAsia="Times New Roman" w:hAnsi="Book Antiqua" w:cs="Book Antiqua"/>
                <w:b/>
                <w:bCs/>
                <w:color w:val="FF0000"/>
                <w:sz w:val="24"/>
                <w:szCs w:val="24"/>
              </w:rPr>
              <w:t>«ЭКСПЕРТНЫЙ СОВЕТ»</w:t>
            </w:r>
          </w:p>
        </w:tc>
        <w:tc>
          <w:tcPr>
            <w:tcW w:w="4961" w:type="dxa"/>
            <w:vMerge/>
            <w:vAlign w:val="center"/>
          </w:tcPr>
          <w:p w:rsidR="00535488" w:rsidRPr="004B047E" w:rsidRDefault="00535488" w:rsidP="004B047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</w:p>
        </w:tc>
      </w:tr>
      <w:tr w:rsidR="00535488" w:rsidRPr="00535488" w:rsidTr="006C40AB">
        <w:tc>
          <w:tcPr>
            <w:tcW w:w="5211" w:type="dxa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 w:rsidRPr="00535488">
                <w:rPr>
                  <w:rFonts w:ascii="Book Antiqua" w:eastAsia="Times New Roman" w:hAnsi="Book Antiqua" w:cs="Book Antiqua"/>
                  <w:bCs/>
                  <w:i/>
                  <w:sz w:val="18"/>
                  <w:szCs w:val="18"/>
                </w:rPr>
                <w:t>109028, г</w:t>
              </w:r>
            </w:smartTag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  <w:t>. Москва, Б.Трехсвятительский пер., д. 2/1, стр. 2</w:t>
            </w:r>
          </w:p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</w:pP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  <w:t xml:space="preserve">8 (800) 200-29-50, (495) 626-29-50 </w:t>
            </w:r>
          </w:p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Book Antiqua" w:eastAsia="Times New Roman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  <w:lang w:val="en-US"/>
              </w:rPr>
              <w:t>www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  <w:t>.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  <w:lang w:val="en-US"/>
              </w:rPr>
              <w:t>srosovet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  <w:t>.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  <w:lang w:val="en-US"/>
              </w:rPr>
              <w:t>ru</w:t>
            </w:r>
            <w:r w:rsidRPr="0053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  <w:lang w:val="en-US"/>
              </w:rPr>
              <w:t>mail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  <w:t>@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  <w:lang w:val="en-US"/>
              </w:rPr>
              <w:t>srosovet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</w:rPr>
              <w:t>.</w:t>
            </w:r>
            <w:r w:rsidRPr="00535488">
              <w:rPr>
                <w:rFonts w:ascii="Book Antiqua" w:eastAsia="Times New Roman" w:hAnsi="Book Antiqua" w:cs="Book Antiqua"/>
                <w:bCs/>
                <w:i/>
                <w:sz w:val="18"/>
                <w:szCs w:val="18"/>
                <w:lang w:val="en-US"/>
              </w:rPr>
              <w:t>ru</w:t>
            </w:r>
          </w:p>
        </w:tc>
        <w:tc>
          <w:tcPr>
            <w:tcW w:w="4961" w:type="dxa"/>
            <w:vMerge/>
            <w:vAlign w:val="center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35488" w:rsidRPr="00535488" w:rsidTr="006C40AB">
        <w:tc>
          <w:tcPr>
            <w:tcW w:w="5211" w:type="dxa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</w:p>
        </w:tc>
      </w:tr>
      <w:tr w:rsidR="00535488" w:rsidRPr="00535488" w:rsidTr="006C40AB">
        <w:tc>
          <w:tcPr>
            <w:tcW w:w="5211" w:type="dxa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Исх. № </w:t>
            </w:r>
            <w:r w:rsidR="00FC4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13/05-</w:t>
            </w:r>
            <w:r w:rsidR="006C4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16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FC4D44" w:rsidRPr="00616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  <w:r w:rsidRPr="00616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FC4D44" w:rsidRPr="00616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16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A97" w:rsidRPr="00535488" w:rsidRDefault="004E2A97" w:rsidP="00535488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5488" w:rsidRPr="00535488" w:rsidRDefault="00535488" w:rsidP="0053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</w:p>
        </w:tc>
      </w:tr>
    </w:tbl>
    <w:p w:rsidR="00FC4D44" w:rsidRPr="00FC4D44" w:rsidRDefault="00535488" w:rsidP="00FC4D44">
      <w:pPr>
        <w:pStyle w:val="2"/>
        <w:spacing w:before="0" w:beforeAutospacing="0" w:after="0" w:afterAutospacing="0" w:line="272" w:lineRule="atLeast"/>
        <w:rPr>
          <w:b w:val="0"/>
          <w:color w:val="000000"/>
          <w:sz w:val="24"/>
          <w:szCs w:val="24"/>
        </w:rPr>
      </w:pPr>
      <w:r w:rsidRPr="00FC4D44">
        <w:rPr>
          <w:b w:val="0"/>
          <w:color w:val="000000"/>
          <w:sz w:val="24"/>
          <w:szCs w:val="24"/>
        </w:rPr>
        <w:t xml:space="preserve">О направлении позиции </w:t>
      </w:r>
      <w:r w:rsidR="00FC4D44">
        <w:rPr>
          <w:b w:val="0"/>
          <w:color w:val="000000"/>
          <w:sz w:val="24"/>
          <w:szCs w:val="24"/>
        </w:rPr>
        <w:br/>
      </w:r>
      <w:r w:rsidRPr="00FC4D44">
        <w:rPr>
          <w:b w:val="0"/>
          <w:color w:val="000000"/>
          <w:sz w:val="24"/>
          <w:szCs w:val="24"/>
        </w:rPr>
        <w:t>по</w:t>
      </w:r>
      <w:r w:rsidR="00FC4D44" w:rsidRPr="00FC4D44">
        <w:rPr>
          <w:b w:val="0"/>
          <w:color w:val="000000"/>
          <w:sz w:val="24"/>
          <w:szCs w:val="24"/>
        </w:rPr>
        <w:t xml:space="preserve"> законопроекту № 985769-6</w:t>
      </w:r>
    </w:p>
    <w:p w:rsidR="00132472" w:rsidRDefault="00132472" w:rsidP="00FC4D44">
      <w:pPr>
        <w:pStyle w:val="2"/>
        <w:spacing w:before="0" w:beforeAutospacing="0" w:after="0" w:afterAutospacing="0" w:line="272" w:lineRule="atLeast"/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:rsidR="004E2A97" w:rsidRDefault="004E2A97" w:rsidP="00FC4D44">
      <w:pPr>
        <w:pStyle w:val="2"/>
        <w:spacing w:before="0" w:beforeAutospacing="0" w:after="0" w:afterAutospacing="0" w:line="272" w:lineRule="atLeast"/>
        <w:jc w:val="center"/>
        <w:rPr>
          <w:color w:val="000000" w:themeColor="text1"/>
          <w:sz w:val="26"/>
          <w:szCs w:val="26"/>
          <w:shd w:val="clear" w:color="auto" w:fill="FFFFFF"/>
        </w:rPr>
      </w:pPr>
    </w:p>
    <w:p w:rsidR="00132472" w:rsidRPr="00760027" w:rsidRDefault="00535488" w:rsidP="004E2A9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7600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Уважаемый </w:t>
      </w:r>
      <w:r w:rsidR="00CA6970">
        <w:rPr>
          <w:rFonts w:ascii="Times New Roman" w:hAnsi="Times New Roman" w:cs="Times New Roman"/>
          <w:color w:val="000000"/>
          <w:sz w:val="26"/>
          <w:szCs w:val="26"/>
        </w:rPr>
        <w:t>Сергей Евгеньевич</w:t>
      </w:r>
      <w:r w:rsidRPr="007600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FC4D44" w:rsidRDefault="00FC4D44" w:rsidP="004E2A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официальном сайте Государственной Думы Р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оссийской Федерации 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автоматизированной системе обеспечения законодательной деятельности была размещена информация о рассмотрении во втором и третьем чтении Проекта Федерального закона №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985769-6 «О внесении изменений в отдельные законодатель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ные акты Российской Федерации» (далее – Законопроект </w:t>
      </w:r>
      <w:r w:rsidR="0061672B"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1672B"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985769-6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1672B" w:rsidRDefault="00FC4D44" w:rsidP="004E2A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Текст 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Законопроекта </w:t>
      </w:r>
      <w:r w:rsidR="0061672B"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1672B"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985769-6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редакции</w:t>
      </w:r>
      <w:r w:rsidR="00430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 второму и третьему чтениям, в который были внесены существенные изменения в части регулирования оценочной деятельности, 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ранее </w:t>
      </w:r>
      <w:r w:rsidR="006167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нигде не размещался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не обсуждался </w:t>
      </w:r>
      <w:r w:rsidR="00430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 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уполномоченными органами по нормативно-правовому регулированию оценочной деятельности</w:t>
      </w:r>
      <w:r w:rsidR="00430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430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оценочным сообществом.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сути </w:t>
      </w:r>
      <w:r w:rsidR="00AB29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30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совершенно иной законопроект.</w:t>
      </w:r>
    </w:p>
    <w:p w:rsidR="0043015F" w:rsidRDefault="0043015F" w:rsidP="004E2A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Некоммерческое партнерство «Саморегулируемая организация оценщиков «Экспертный совет» (далее </w:t>
      </w:r>
      <w:r w:rsidR="006C40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Партнерство), как организация, представляющая интересы более 2000 оценщиков, являющихся членами Партнерств</w:t>
      </w:r>
      <w:r w:rsidR="006C40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 считает недопустимым внесение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столь существенных изменений в регулирование оценочной деятельности без обсуждения с представителями профессионального сообщества.</w:t>
      </w:r>
    </w:p>
    <w:p w:rsidR="0043015F" w:rsidRDefault="004E2A97" w:rsidP="004E2A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Обсуждения и дополнительной </w:t>
      </w:r>
      <w:r w:rsidR="00B118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проработки требуют следующие вопросы:</w:t>
      </w:r>
    </w:p>
    <w:p w:rsidR="004E2A97" w:rsidRDefault="004E2A97" w:rsidP="004E2A97">
      <w:pPr>
        <w:spacing w:after="0" w:line="12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2A97" w:rsidRPr="004E2A97" w:rsidRDefault="004E2A97" w:rsidP="004E2A97">
      <w:pPr>
        <w:pStyle w:val="af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4E2A97">
        <w:rPr>
          <w:b/>
          <w:color w:val="000000"/>
          <w:sz w:val="26"/>
          <w:szCs w:val="26"/>
        </w:rPr>
        <w:t>Кв</w:t>
      </w:r>
      <w:r w:rsidR="00B1187F" w:rsidRPr="004E2A97">
        <w:rPr>
          <w:b/>
          <w:color w:val="000000"/>
          <w:sz w:val="26"/>
          <w:szCs w:val="26"/>
        </w:rPr>
        <w:t>алификационн</w:t>
      </w:r>
      <w:r w:rsidRPr="004E2A97">
        <w:rPr>
          <w:b/>
          <w:color w:val="000000"/>
          <w:sz w:val="26"/>
          <w:szCs w:val="26"/>
        </w:rPr>
        <w:t>ый</w:t>
      </w:r>
      <w:r w:rsidR="00B1187F" w:rsidRPr="004E2A97">
        <w:rPr>
          <w:b/>
          <w:color w:val="000000"/>
          <w:sz w:val="26"/>
          <w:szCs w:val="26"/>
        </w:rPr>
        <w:t xml:space="preserve"> экзамен в области оценочной деятельности.</w:t>
      </w:r>
    </w:p>
    <w:p w:rsidR="00D72FB4" w:rsidRPr="004E2A97" w:rsidRDefault="004E2A97" w:rsidP="004E2A97">
      <w:pPr>
        <w:pStyle w:val="af0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ab/>
      </w:r>
      <w:r w:rsidR="00B1187F" w:rsidRPr="004E2A97">
        <w:rPr>
          <w:color w:val="000000"/>
          <w:sz w:val="26"/>
          <w:szCs w:val="26"/>
        </w:rPr>
        <w:t xml:space="preserve">Законопроект </w:t>
      </w:r>
      <w:r w:rsidR="00B1187F" w:rsidRPr="004E2A97">
        <w:rPr>
          <w:color w:val="000000"/>
          <w:sz w:val="26"/>
          <w:szCs w:val="26"/>
          <w:shd w:val="clear" w:color="auto" w:fill="FFFFFF"/>
        </w:rPr>
        <w:t>№ 985769-6</w:t>
      </w:r>
      <w:r w:rsidR="00D72FB4" w:rsidRPr="004E2A97">
        <w:rPr>
          <w:color w:val="000000"/>
          <w:sz w:val="26"/>
          <w:szCs w:val="26"/>
          <w:shd w:val="clear" w:color="auto" w:fill="FFFFFF"/>
        </w:rPr>
        <w:t xml:space="preserve"> предлагает в целях подтверждения уровня квалификации ввести обязательный квалификационный экзамен в области оценочной деятельности, который необходимо сдавать каждые три года.</w:t>
      </w:r>
    </w:p>
    <w:p w:rsidR="00BC3B43" w:rsidRDefault="00D72FB4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Данная норма не приведет к заявленным в Законопроекте целям. В настоящее время уже существует процедура сдачи квалификационного экзамена лицами, желающими стать экспертами саморегулируемой организации оценщиков. Практика показала всю несостоятельность данной процедуры. </w:t>
      </w:r>
      <w:r w:rsidR="00BC3B43">
        <w:rPr>
          <w:color w:val="000000"/>
          <w:sz w:val="26"/>
          <w:szCs w:val="26"/>
          <w:shd w:val="clear" w:color="auto" w:fill="FFFFFF"/>
        </w:rPr>
        <w:t>Ряд в</w:t>
      </w:r>
      <w:r>
        <w:rPr>
          <w:color w:val="000000"/>
          <w:sz w:val="26"/>
          <w:szCs w:val="26"/>
          <w:shd w:val="clear" w:color="auto" w:fill="FFFFFF"/>
        </w:rPr>
        <w:t>опрос</w:t>
      </w:r>
      <w:r w:rsidR="00BC3B43">
        <w:rPr>
          <w:color w:val="000000"/>
          <w:sz w:val="26"/>
          <w:szCs w:val="26"/>
          <w:shd w:val="clear" w:color="auto" w:fill="FFFFFF"/>
        </w:rPr>
        <w:t>ов</w:t>
      </w:r>
      <w:r>
        <w:rPr>
          <w:color w:val="000000"/>
          <w:sz w:val="26"/>
          <w:szCs w:val="26"/>
          <w:shd w:val="clear" w:color="auto" w:fill="FFFFFF"/>
        </w:rPr>
        <w:t xml:space="preserve">, которые были разработаны </w:t>
      </w:r>
      <w:r w:rsidR="00BC3B43">
        <w:rPr>
          <w:color w:val="000000"/>
          <w:sz w:val="26"/>
          <w:szCs w:val="26"/>
          <w:shd w:val="clear" w:color="auto" w:fill="FFFFFF"/>
        </w:rPr>
        <w:t>для сдачи экзамена, некорректно сформулированы еще при составлении, а после существенного изменения оценочного законодательства, так и вообще стали неверными, при этом изменения в вопросы и ответы до сих пор внесены не были.</w:t>
      </w:r>
    </w:p>
    <w:p w:rsidR="00BC3B43" w:rsidRDefault="00BC3B43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 этом сама процедура сдачи квалификационного экзамена по оценочной деятельности в форме теста не позволяет подтвердить квалификацию оценщика, а лишь позволяет узнать насколько хорошо лицо смогло заучить необходимые варианты ответов. </w:t>
      </w:r>
    </w:p>
    <w:p w:rsidR="00BC3B43" w:rsidRDefault="00BC3B43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 учетом специфики оценочной деятельности отличная сдача лицом экзамена в форме теста не позволит определить насколько качественно им будет выполнен отчет об оценке.</w:t>
      </w:r>
    </w:p>
    <w:p w:rsidR="00D72FB4" w:rsidRPr="00BC3B43" w:rsidRDefault="00D72FB4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BC3B43">
        <w:rPr>
          <w:color w:val="000000"/>
          <w:sz w:val="26"/>
          <w:szCs w:val="26"/>
          <w:shd w:val="clear" w:color="auto" w:fill="FFFFFF"/>
        </w:rPr>
        <w:t>Также Законопроектом № 985769-6 предлагается дополнить статью 4 частью третью следующего содержания: «</w:t>
      </w:r>
      <w:r w:rsidR="00B1187F" w:rsidRPr="00BC3B43">
        <w:rPr>
          <w:color w:val="000000"/>
          <w:sz w:val="26"/>
          <w:szCs w:val="26"/>
        </w:rPr>
        <w:t>Оценщик может осуществлять оценочную деятельность по направлениям, указанным в квалификационном аттестате»</w:t>
      </w:r>
      <w:r w:rsidRPr="00BC3B43">
        <w:rPr>
          <w:color w:val="000000"/>
          <w:sz w:val="26"/>
          <w:szCs w:val="26"/>
        </w:rPr>
        <w:t>.</w:t>
      </w:r>
    </w:p>
    <w:p w:rsidR="00BC3B43" w:rsidRDefault="00BC3B43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BC3B43">
        <w:rPr>
          <w:color w:val="000000"/>
          <w:sz w:val="26"/>
          <w:szCs w:val="26"/>
        </w:rPr>
        <w:t>При этом в Законопроекте не указано</w:t>
      </w:r>
      <w:r>
        <w:rPr>
          <w:color w:val="000000"/>
          <w:sz w:val="26"/>
          <w:szCs w:val="26"/>
        </w:rPr>
        <w:t>,</w:t>
      </w:r>
      <w:r w:rsidRPr="00BC3B43">
        <w:rPr>
          <w:color w:val="000000"/>
          <w:sz w:val="26"/>
          <w:szCs w:val="26"/>
        </w:rPr>
        <w:t xml:space="preserve"> какой именно орган будет определять количество таких направлений. Сколько их требуется? 4, 10, 20? Сколько экзаменов необходимо сдавать оценщику каждые три года? Напомним, что с лиц, сдающих квалификационный экзамен, взимается плата за его сдачу.</w:t>
      </w:r>
    </w:p>
    <w:p w:rsidR="00977473" w:rsidRPr="00977473" w:rsidRDefault="00977473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практически все оценщики имеют диплом о прохождении профессиональной подготовки по программе «Оценка стоимости предприятия (бизнеса)</w:t>
      </w:r>
      <w:r w:rsidR="00AB293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который позволяет оценщикам оценивать любые объекты оценки. Введение направлений деятельности снизит конкурентоспособность оценщиков, которые только начинают свою деятельность и не имеют финансовой возможности (плата за проезд к месту </w:t>
      </w:r>
      <w:r w:rsidRPr="00977473">
        <w:rPr>
          <w:color w:val="000000"/>
          <w:sz w:val="26"/>
          <w:szCs w:val="26"/>
        </w:rPr>
        <w:t xml:space="preserve">проведения экзамена и за сам экзамен) сдать экзамены по всем направлениям.    </w:t>
      </w:r>
    </w:p>
    <w:p w:rsidR="00B1187F" w:rsidRPr="00977473" w:rsidRDefault="00BC3B43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77473">
        <w:rPr>
          <w:color w:val="000000"/>
          <w:sz w:val="26"/>
          <w:szCs w:val="26"/>
        </w:rPr>
        <w:t xml:space="preserve"> Партнерство </w:t>
      </w:r>
      <w:r w:rsidR="00D41C89">
        <w:rPr>
          <w:color w:val="000000"/>
          <w:sz w:val="26"/>
          <w:szCs w:val="26"/>
        </w:rPr>
        <w:t>обращает внимание на то</w:t>
      </w:r>
      <w:r w:rsidRPr="00977473">
        <w:rPr>
          <w:color w:val="000000"/>
          <w:sz w:val="26"/>
          <w:szCs w:val="26"/>
        </w:rPr>
        <w:t xml:space="preserve">, что саморегулируемые организации оценщиков постоянно проводят образовательные мероприятия для своих членов. Так, Партнерство </w:t>
      </w:r>
      <w:r w:rsidR="00AB2937">
        <w:rPr>
          <w:color w:val="000000"/>
          <w:sz w:val="26"/>
          <w:szCs w:val="26"/>
        </w:rPr>
        <w:t xml:space="preserve">регулярно </w:t>
      </w:r>
      <w:r w:rsidRPr="00977473">
        <w:rPr>
          <w:color w:val="000000"/>
          <w:sz w:val="26"/>
          <w:szCs w:val="26"/>
        </w:rPr>
        <w:t>проводит ме</w:t>
      </w:r>
      <w:r w:rsidR="00977473" w:rsidRPr="00977473">
        <w:rPr>
          <w:color w:val="000000"/>
          <w:sz w:val="26"/>
          <w:szCs w:val="26"/>
        </w:rPr>
        <w:t xml:space="preserve">роприятия по наиболее актуальным вопросам оценочной деятельности как в форме вебинаров, так и в очной форме на территории всей Российской Федерации. В данных мероприятиях ежегодно принимают участие </w:t>
      </w:r>
      <w:r w:rsidR="00977473" w:rsidRPr="00977473">
        <w:rPr>
          <w:color w:val="000000"/>
          <w:sz w:val="26"/>
          <w:szCs w:val="26"/>
        </w:rPr>
        <w:lastRenderedPageBreak/>
        <w:t>более 1 500 человек. При этом для членов Партнерства такие мероприятия проводятся на бесплатной основе.</w:t>
      </w:r>
    </w:p>
    <w:p w:rsidR="00BC3B43" w:rsidRPr="00977473" w:rsidRDefault="00977473" w:rsidP="004E2A97">
      <w:pPr>
        <w:pStyle w:val="af0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977473">
        <w:rPr>
          <w:color w:val="000000"/>
          <w:sz w:val="26"/>
          <w:szCs w:val="26"/>
        </w:rPr>
        <w:t xml:space="preserve">Таким образом, </w:t>
      </w:r>
      <w:r>
        <w:rPr>
          <w:color w:val="000000"/>
          <w:sz w:val="26"/>
          <w:szCs w:val="26"/>
        </w:rPr>
        <w:t xml:space="preserve">Партнерство </w:t>
      </w:r>
      <w:r w:rsidRPr="00977473">
        <w:rPr>
          <w:color w:val="000000"/>
          <w:sz w:val="26"/>
          <w:szCs w:val="26"/>
        </w:rPr>
        <w:t>считае</w:t>
      </w:r>
      <w:r w:rsidR="00C0465F">
        <w:rPr>
          <w:color w:val="000000"/>
          <w:sz w:val="26"/>
          <w:szCs w:val="26"/>
        </w:rPr>
        <w:t>т</w:t>
      </w:r>
      <w:r w:rsidRPr="00977473">
        <w:rPr>
          <w:color w:val="000000"/>
          <w:sz w:val="26"/>
          <w:szCs w:val="26"/>
        </w:rPr>
        <w:t xml:space="preserve"> </w:t>
      </w:r>
      <w:r w:rsidR="00D41C89" w:rsidRPr="00977473">
        <w:rPr>
          <w:color w:val="000000"/>
          <w:sz w:val="26"/>
          <w:szCs w:val="26"/>
        </w:rPr>
        <w:t>не</w:t>
      </w:r>
      <w:r w:rsidR="00D41C89">
        <w:rPr>
          <w:color w:val="000000"/>
          <w:sz w:val="26"/>
          <w:szCs w:val="26"/>
        </w:rPr>
        <w:t xml:space="preserve">целесообразным </w:t>
      </w:r>
      <w:r>
        <w:rPr>
          <w:color w:val="000000"/>
          <w:sz w:val="26"/>
          <w:szCs w:val="26"/>
        </w:rPr>
        <w:t>введение квалификационного экзамена в области оценочной деятельности.</w:t>
      </w:r>
      <w:r w:rsidRPr="00977473">
        <w:rPr>
          <w:color w:val="000000"/>
          <w:sz w:val="26"/>
          <w:szCs w:val="26"/>
        </w:rPr>
        <w:t xml:space="preserve"> </w:t>
      </w:r>
    </w:p>
    <w:p w:rsidR="00BC3B43" w:rsidRPr="00B1187F" w:rsidRDefault="00BC3B43" w:rsidP="004E2A97">
      <w:pPr>
        <w:pStyle w:val="af0"/>
        <w:tabs>
          <w:tab w:val="left" w:pos="1134"/>
        </w:tabs>
        <w:spacing w:before="0" w:beforeAutospacing="0" w:after="0" w:afterAutospacing="0" w:line="120" w:lineRule="auto"/>
        <w:ind w:firstLine="851"/>
        <w:jc w:val="both"/>
        <w:rPr>
          <w:color w:val="000000"/>
          <w:sz w:val="22"/>
          <w:szCs w:val="22"/>
        </w:rPr>
      </w:pPr>
    </w:p>
    <w:p w:rsidR="0043015F" w:rsidRPr="004E2A97" w:rsidRDefault="00977473" w:rsidP="004E2A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E2A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2. </w:t>
      </w:r>
      <w:r w:rsidR="004E2A97" w:rsidRPr="004E2A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</w:t>
      </w:r>
      <w:r w:rsidRPr="004E2A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олномочи</w:t>
      </w:r>
      <w:r w:rsidR="004E2A97" w:rsidRPr="004E2A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  <w:r w:rsidRPr="004E2A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Совета по оценочной деятельности при Минэкономразвития России.</w:t>
      </w:r>
    </w:p>
    <w:p w:rsidR="0043015F" w:rsidRPr="0043015F" w:rsidRDefault="0043015F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3015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Законопроект предлагает изложить абзац седьмой части второй статьи 19.1 Федерального закона от 29 июля 1998г. № 135-ФЗ «Об оценочной деятельности в Российской Федерации» в следующей редакции: 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 «одобряет методические рекомендации по оценке, разработанные в целях развития положений утвержденных федеральных стандартов оценки, 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за исключением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 федеральных стандартов оценки, устанавливающих требования к определению кадастровой стоимости».</w:t>
      </w:r>
    </w:p>
    <w:p w:rsidR="0043015F" w:rsidRPr="0043015F" w:rsidRDefault="0043015F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Тем самым из полномочий Совета по оценочной деятельности при Минэкономразвития России (далее – Совет по оценочной деятельности) исключается полномочие по рассмотрению проектов нормативных правовых актов Российской Федерации в области оценочной деятельности и представлению рекомендации по их утверждению, ограничив сферу деятельности Совета по оценочной деятельности лишь одобрением методических рекомендаций по оценке, разработанных в целях развития положений утвержденных федеральных стандартов оценки, 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за исключением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 федеральных стандартов оценки, устанавливающих требования к определению кадастровой стоимости.  </w:t>
      </w:r>
    </w:p>
    <w:p w:rsidR="0043015F" w:rsidRPr="0043015F" w:rsidRDefault="0043015F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Данное регулирование недопустимо, так как планомерно ведет к переходу от саморегулирования оценочной деятельности (принятия нормативных актов с учетом позиции как профессионального оценочного сообщества, так и мнения потребителей оценочных услуг) к государственному регулированию данной области. </w:t>
      </w:r>
    </w:p>
    <w:p w:rsidR="0043015F" w:rsidRPr="0043015F" w:rsidRDefault="0043015F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>Исключение же из функционала Совета по оценочной деятельности полномочий по рассмотрению и одобрению методических рекомендаций по оценке, разработанных в целях развития положений федеральных стандартов оценки, устанавливающих требования к определению кадастровой стоимости, планомерно ведет к выведению деятельности по определению кадастровой стоимости из регулирования оценочной деятельности</w:t>
      </w:r>
    </w:p>
    <w:p w:rsidR="0043015F" w:rsidRDefault="0043015F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Таким образом, </w:t>
      </w:r>
      <w:r w:rsidR="00977473">
        <w:rPr>
          <w:rFonts w:ascii="Times New Roman" w:eastAsia="Times New Roman" w:hAnsi="Times New Roman" w:cs="Times New Roman"/>
          <w:iCs/>
          <w:sz w:val="26"/>
          <w:szCs w:val="26"/>
        </w:rPr>
        <w:t>Партнерство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 считает необходимым исключить из Законопроекта № 985769-6  подпункт а) пункта </w:t>
      </w:r>
      <w:r w:rsidR="00841F55">
        <w:rPr>
          <w:rFonts w:ascii="Times New Roman" w:eastAsia="Times New Roman" w:hAnsi="Times New Roman" w:cs="Times New Roman"/>
          <w:iCs/>
          <w:sz w:val="26"/>
          <w:szCs w:val="26"/>
        </w:rPr>
        <w:t>10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 статьи </w:t>
      </w:r>
      <w:r w:rsidR="00841F55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43015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4E2A97" w:rsidRDefault="004E2A97" w:rsidP="004E2A97">
      <w:pPr>
        <w:tabs>
          <w:tab w:val="left" w:pos="1134"/>
        </w:tabs>
        <w:spacing w:after="0" w:line="12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597BA5" w:rsidRPr="00C62733" w:rsidRDefault="00597BA5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3. </w:t>
      </w:r>
      <w:r w:rsidRPr="00C62733">
        <w:rPr>
          <w:rFonts w:ascii="Times New Roman" w:hAnsi="Times New Roman" w:cs="Times New Roman"/>
          <w:b/>
          <w:sz w:val="26"/>
          <w:szCs w:val="26"/>
        </w:rPr>
        <w:t>Экспертиза отчетов об определении кадастровой стоимости и отчетов об определении рыночной стоимости объектов недвижимости в случае оспаривания результатов определения кадастровой стоимости.</w:t>
      </w:r>
    </w:p>
    <w:p w:rsidR="00597BA5" w:rsidRDefault="00597BA5" w:rsidP="004E2A9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2733">
        <w:rPr>
          <w:rFonts w:ascii="Times New Roman" w:hAnsi="Times New Roman" w:cs="Times New Roman"/>
          <w:bCs/>
          <w:sz w:val="26"/>
          <w:szCs w:val="26"/>
        </w:rPr>
        <w:t xml:space="preserve">В отличие от действующего Федерального закона от 29 июля 1998г. № 135-ФЗ «Об оценочной деятельности в Российской Федерации», законопроект не предусматривает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кспертизу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саморегулируемых организациях оценщиков ни </w:t>
      </w:r>
      <w:r w:rsidRPr="00C62733">
        <w:rPr>
          <w:rFonts w:ascii="Times New Roman" w:hAnsi="Times New Roman" w:cs="Times New Roman"/>
          <w:bCs/>
          <w:sz w:val="26"/>
          <w:szCs w:val="26"/>
        </w:rPr>
        <w:t>отчет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 об определении кадастровой стоимости</w:t>
      </w:r>
      <w:r>
        <w:rPr>
          <w:rFonts w:ascii="Times New Roman" w:hAnsi="Times New Roman" w:cs="Times New Roman"/>
          <w:bCs/>
          <w:sz w:val="26"/>
          <w:szCs w:val="26"/>
        </w:rPr>
        <w:t>, ни отчетов об оценке, предоставляемых в комиссии по рассмотрению споров об оспаривании результатов определения кадастровой стоимости.</w:t>
      </w:r>
    </w:p>
    <w:p w:rsidR="00597BA5" w:rsidRDefault="00597BA5" w:rsidP="004E2A9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Отказ от экспертизы 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несет в себе риски снижения качества </w:t>
      </w:r>
      <w:r>
        <w:rPr>
          <w:rFonts w:ascii="Times New Roman" w:hAnsi="Times New Roman" w:cs="Times New Roman"/>
          <w:bCs/>
          <w:sz w:val="26"/>
          <w:szCs w:val="26"/>
        </w:rPr>
        <w:t>подготавливаемых отчетов, что в случае с отчетами об определении кадастровой стоимости приведет к увеличению числа обращений в рамках оспаривания результатов определения кадастровой стоимости, а в случае с отчетами, направляемыми в комиссии</w:t>
      </w:r>
      <w:r w:rsidR="00841F55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741675">
        <w:rPr>
          <w:rFonts w:ascii="Times New Roman" w:eastAsia="Times New Roman" w:hAnsi="Times New Roman" w:cs="Times New Roman"/>
          <w:sz w:val="26"/>
          <w:szCs w:val="26"/>
        </w:rPr>
        <w:t xml:space="preserve">к увеличению нагрузки на членов </w:t>
      </w:r>
      <w:r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741675">
        <w:rPr>
          <w:rFonts w:ascii="Times New Roman" w:eastAsia="Times New Roman" w:hAnsi="Times New Roman" w:cs="Times New Roman"/>
          <w:sz w:val="26"/>
          <w:szCs w:val="26"/>
        </w:rPr>
        <w:t xml:space="preserve"> по их проверке. Увеличение нагрузки приведет к дополнительной волоките и невозможности полноценно рассматривать представляемые документы, что скажется на обоснованности принятых решений.</w:t>
      </w:r>
      <w:r w:rsidRPr="005010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Экспертиза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саморегулируемой организации оценщиков 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позволяет существенно повысить качество представляемых в </w:t>
      </w:r>
      <w:r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 отчетов об оценке, в этом есть прямая заинтересованность и заявителей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 и государства.</w:t>
      </w:r>
    </w:p>
    <w:p w:rsidR="00597BA5" w:rsidRPr="00956ADD" w:rsidRDefault="00597BA5" w:rsidP="004E2A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56ADD">
        <w:rPr>
          <w:rFonts w:ascii="Times New Roman" w:eastAsia="Times New Roman" w:hAnsi="Times New Roman" w:cs="Times New Roman"/>
          <w:iCs/>
          <w:sz w:val="26"/>
          <w:szCs w:val="26"/>
        </w:rPr>
        <w:t xml:space="preserve">Наличие такого «фильтра», как экспертиза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саморегулируемой организации оценщиков</w:t>
      </w:r>
      <w:r w:rsidRPr="00956ADD">
        <w:rPr>
          <w:rFonts w:ascii="Times New Roman" w:eastAsia="Times New Roman" w:hAnsi="Times New Roman" w:cs="Times New Roman"/>
          <w:iCs/>
          <w:sz w:val="26"/>
          <w:szCs w:val="26"/>
        </w:rPr>
        <w:t>, также удерживает рынок оценочных услуг (для целей оспаривания) от ценового демпинга в ущерб качеству, поскольку необходимость прохождения экспертизы отчета об оценке, а, следовательно, более тщательной проработки отчета об оценке, не позволяет необоснованно снижать цены на данные оценочные услуги.</w:t>
      </w:r>
    </w:p>
    <w:p w:rsidR="00597BA5" w:rsidRDefault="00597BA5" w:rsidP="004E2A9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Учитывая вышеизложенное, Партнерство считает н</w:t>
      </w:r>
      <w:r w:rsidRPr="00C62733">
        <w:rPr>
          <w:rFonts w:ascii="Times New Roman" w:hAnsi="Times New Roman" w:cs="Times New Roman"/>
          <w:bCs/>
          <w:sz w:val="26"/>
          <w:szCs w:val="26"/>
        </w:rPr>
        <w:t>еобходим</w:t>
      </w:r>
      <w:r>
        <w:rPr>
          <w:rFonts w:ascii="Times New Roman" w:hAnsi="Times New Roman" w:cs="Times New Roman"/>
          <w:bCs/>
          <w:sz w:val="26"/>
          <w:szCs w:val="26"/>
        </w:rPr>
        <w:t>ым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 оставить действу</w:t>
      </w:r>
      <w:r>
        <w:rPr>
          <w:rFonts w:ascii="Times New Roman" w:hAnsi="Times New Roman" w:cs="Times New Roman"/>
          <w:bCs/>
          <w:sz w:val="26"/>
          <w:szCs w:val="26"/>
        </w:rPr>
        <w:t xml:space="preserve">ющее требование об обязательной экспертизе отчета об определении кадастровой стоимости, а также 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в комиссии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 положительного экспертного заключения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саморегулируемой организации оценщиков </w:t>
      </w:r>
      <w:r w:rsidRPr="00C62733">
        <w:rPr>
          <w:rFonts w:ascii="Times New Roman" w:hAnsi="Times New Roman" w:cs="Times New Roman"/>
          <w:bCs/>
          <w:sz w:val="26"/>
          <w:szCs w:val="26"/>
        </w:rPr>
        <w:t xml:space="preserve">в случае, если рыночная стоимость объекта недвижимости отличается от его кадастровой стоимости более чем на 30%. </w:t>
      </w:r>
    </w:p>
    <w:p w:rsidR="00C0465F" w:rsidRDefault="00841F55" w:rsidP="007C4A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Следует отметить, что в</w:t>
      </w:r>
      <w:r w:rsidR="007C4AA8">
        <w:rPr>
          <w:rFonts w:ascii="Times New Roman" w:hAnsi="Times New Roman" w:cs="Times New Roman"/>
          <w:sz w:val="26"/>
          <w:szCs w:val="26"/>
        </w:rPr>
        <w:t xml:space="preserve"> 2015 году вступили в силу ряд положений Федерального закона от 29.07.1998г. № 135-ФЗ «Об оценочной деятельности в Российской Федерации», направленных на повышение качества экспертизы отчетов об оценке. Так, действующее законодательство предусматривает, что при проведении экспертизы отчетов об оценке рыночной стоимости </w:t>
      </w:r>
      <w:r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7C4AA8">
        <w:rPr>
          <w:rFonts w:ascii="Times New Roman" w:hAnsi="Times New Roman" w:cs="Times New Roman"/>
          <w:sz w:val="26"/>
          <w:szCs w:val="26"/>
        </w:rPr>
        <w:t xml:space="preserve">помимо проверки отчета на </w:t>
      </w:r>
      <w:r w:rsidR="007C4AA8" w:rsidRPr="007C4AA8">
        <w:rPr>
          <w:rFonts w:ascii="Times New Roman" w:hAnsi="Times New Roman" w:cs="Times New Roman"/>
          <w:sz w:val="26"/>
          <w:szCs w:val="26"/>
        </w:rPr>
        <w:t>соответствие требованиям законодательства Российской Федерации об оценочной деятельности</w:t>
      </w:r>
      <w:r w:rsidR="007C4AA8">
        <w:rPr>
          <w:rFonts w:ascii="Times New Roman" w:hAnsi="Times New Roman" w:cs="Times New Roman"/>
          <w:sz w:val="26"/>
          <w:szCs w:val="26"/>
        </w:rPr>
        <w:t>,</w:t>
      </w:r>
      <w:r w:rsidR="007C4AA8" w:rsidRPr="007C4AA8">
        <w:rPr>
          <w:rFonts w:ascii="Times New Roman" w:hAnsi="Times New Roman" w:cs="Times New Roman"/>
          <w:sz w:val="26"/>
          <w:szCs w:val="26"/>
        </w:rPr>
        <w:t xml:space="preserve"> </w:t>
      </w:r>
      <w:r w:rsidR="007C4AA8">
        <w:rPr>
          <w:rFonts w:ascii="Times New Roman" w:hAnsi="Times New Roman" w:cs="Times New Roman"/>
          <w:sz w:val="26"/>
          <w:szCs w:val="26"/>
        </w:rPr>
        <w:t xml:space="preserve"> необходимо также проверить отчет с целью п</w:t>
      </w:r>
      <w:r w:rsidR="007C4AA8" w:rsidRPr="007C4AA8">
        <w:rPr>
          <w:rFonts w:ascii="Times New Roman" w:hAnsi="Times New Roman" w:cs="Times New Roman"/>
          <w:sz w:val="26"/>
          <w:szCs w:val="26"/>
        </w:rPr>
        <w:t>одтвер</w:t>
      </w:r>
      <w:r w:rsidR="007C4AA8">
        <w:rPr>
          <w:rFonts w:ascii="Times New Roman" w:hAnsi="Times New Roman" w:cs="Times New Roman"/>
          <w:sz w:val="26"/>
          <w:szCs w:val="26"/>
        </w:rPr>
        <w:t>ждения рыночной стоимости объ</w:t>
      </w:r>
      <w:r w:rsidR="007C4AA8" w:rsidRPr="007C4AA8">
        <w:rPr>
          <w:rFonts w:ascii="Times New Roman" w:hAnsi="Times New Roman" w:cs="Times New Roman"/>
          <w:sz w:val="26"/>
          <w:szCs w:val="26"/>
        </w:rPr>
        <w:t>екта оценки, определенной оценщиком в отчете.</w:t>
      </w:r>
      <w:r w:rsidR="007C4AA8">
        <w:rPr>
          <w:rFonts w:ascii="Times New Roman" w:hAnsi="Times New Roman" w:cs="Times New Roman"/>
          <w:sz w:val="26"/>
          <w:szCs w:val="26"/>
        </w:rPr>
        <w:t xml:space="preserve"> При этом размер в</w:t>
      </w:r>
      <w:r w:rsidR="00C0465F" w:rsidRPr="00C0465F">
        <w:rPr>
          <w:rFonts w:ascii="Times New Roman" w:hAnsi="Times New Roman" w:cs="Times New Roman"/>
          <w:sz w:val="26"/>
          <w:szCs w:val="26"/>
        </w:rPr>
        <w:t>озмещени</w:t>
      </w:r>
      <w:r w:rsidR="007C4AA8">
        <w:rPr>
          <w:rFonts w:ascii="Times New Roman" w:hAnsi="Times New Roman" w:cs="Times New Roman"/>
          <w:sz w:val="26"/>
          <w:szCs w:val="26"/>
        </w:rPr>
        <w:t>я</w:t>
      </w:r>
      <w:r w:rsidR="00C0465F" w:rsidRPr="00C0465F">
        <w:rPr>
          <w:rFonts w:ascii="Times New Roman" w:hAnsi="Times New Roman" w:cs="Times New Roman"/>
          <w:sz w:val="26"/>
          <w:szCs w:val="26"/>
        </w:rPr>
        <w:t xml:space="preserve"> заказчику оценки и (или) третьему лицу убытков или имущественного вреда,  </w:t>
      </w:r>
      <w:r w:rsidR="007C4AA8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C0465F" w:rsidRPr="00C0465F">
        <w:rPr>
          <w:rFonts w:ascii="Times New Roman" w:hAnsi="Times New Roman" w:cs="Times New Roman"/>
          <w:sz w:val="26"/>
          <w:szCs w:val="26"/>
        </w:rPr>
        <w:t>производится за счет средств компенсационного фонда саморегулируемой организации оценщиков, членами которой являются эксперт или эксперты, в</w:t>
      </w:r>
      <w:r w:rsidR="007C4AA8">
        <w:rPr>
          <w:rFonts w:ascii="Times New Roman" w:hAnsi="Times New Roman" w:cs="Times New Roman"/>
          <w:sz w:val="26"/>
          <w:szCs w:val="26"/>
        </w:rPr>
        <w:t xml:space="preserve">ыдавшие положительное заключение на отчет об оценке, был увеличен с одного до </w:t>
      </w:r>
      <w:r w:rsidR="00C0465F" w:rsidRPr="00C0465F">
        <w:rPr>
          <w:rFonts w:ascii="Times New Roman" w:hAnsi="Times New Roman" w:cs="Times New Roman"/>
          <w:sz w:val="26"/>
          <w:szCs w:val="26"/>
        </w:rPr>
        <w:t>пят</w:t>
      </w:r>
      <w:r w:rsidR="007C4AA8">
        <w:rPr>
          <w:rFonts w:ascii="Times New Roman" w:hAnsi="Times New Roman" w:cs="Times New Roman"/>
          <w:sz w:val="26"/>
          <w:szCs w:val="26"/>
        </w:rPr>
        <w:t>и</w:t>
      </w:r>
      <w:r w:rsidR="00C0465F" w:rsidRPr="00C0465F">
        <w:rPr>
          <w:rFonts w:ascii="Times New Roman" w:hAnsi="Times New Roman" w:cs="Times New Roman"/>
          <w:sz w:val="26"/>
          <w:szCs w:val="26"/>
        </w:rPr>
        <w:t xml:space="preserve"> миллионов рублей.</w:t>
      </w:r>
    </w:p>
    <w:p w:rsidR="00597BA5" w:rsidRDefault="00597BA5" w:rsidP="004E2A97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В законопроект также включены положения, которые положительно повлияют на оценочную деятельность. Например, к таким положениям можно отнести снятие ограничения на проведение экспертизы отчетов об оценке исключительно в той саморегулируемой организации оценщиков, в которой состоит оценщик, подписавший отчет об оценке. Возможность проведения экспертизы в любой саморегулируемой организации позволит </w:t>
      </w:r>
      <w:r w:rsidR="004E2A97">
        <w:rPr>
          <w:rFonts w:ascii="Times New Roman" w:eastAsia="Times New Roman" w:hAnsi="Times New Roman" w:cs="Times New Roman"/>
          <w:iCs/>
          <w:sz w:val="26"/>
          <w:szCs w:val="26"/>
        </w:rPr>
        <w:t>сделат</w:t>
      </w:r>
      <w:r w:rsidR="00D41C89">
        <w:rPr>
          <w:rFonts w:ascii="Times New Roman" w:eastAsia="Times New Roman" w:hAnsi="Times New Roman" w:cs="Times New Roman"/>
          <w:iCs/>
          <w:sz w:val="26"/>
          <w:szCs w:val="26"/>
        </w:rPr>
        <w:t>ь</w:t>
      </w:r>
      <w:r w:rsidR="004E2A97">
        <w:rPr>
          <w:rFonts w:ascii="Times New Roman" w:eastAsia="Times New Roman" w:hAnsi="Times New Roman" w:cs="Times New Roman"/>
          <w:iCs/>
          <w:sz w:val="26"/>
          <w:szCs w:val="26"/>
        </w:rPr>
        <w:t xml:space="preserve"> рынок услуг по экспертизе отчетов более прозрачным и объективным. При этом, даже такие положительные моменты законопроекта нуждаются в дополнительной проработке.</w:t>
      </w:r>
    </w:p>
    <w:p w:rsidR="00D32A5B" w:rsidRPr="00FC4D44" w:rsidRDefault="00D32A5B" w:rsidP="004E2A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вышеизложенным, п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росим Вас направить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Законопроект 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C4D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985769-6 на согласование и доработку в Минэкономразвития России, Совет по оценочной деятельности при Минэкономразвития России.</w:t>
      </w:r>
    </w:p>
    <w:p w:rsidR="007420A1" w:rsidRDefault="007420A1" w:rsidP="00C62733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65F" w:rsidRDefault="00C0465F" w:rsidP="00C62733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2C3" w:rsidRDefault="00535488" w:rsidP="00956A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733">
        <w:rPr>
          <w:rFonts w:ascii="Times New Roman" w:hAnsi="Times New Roman" w:cs="Times New Roman"/>
          <w:sz w:val="26"/>
          <w:szCs w:val="26"/>
        </w:rPr>
        <w:t>Президент</w:t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</w:r>
      <w:r w:rsidRPr="00C62733">
        <w:rPr>
          <w:rFonts w:ascii="Times New Roman" w:hAnsi="Times New Roman" w:cs="Times New Roman"/>
          <w:sz w:val="26"/>
          <w:szCs w:val="26"/>
        </w:rPr>
        <w:tab/>
        <w:t>А.В. Каминский</w:t>
      </w:r>
    </w:p>
    <w:p w:rsidR="00B435C2" w:rsidRDefault="00B435C2" w:rsidP="00956A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5C2" w:rsidRDefault="00B435C2" w:rsidP="00956A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5C2" w:rsidRDefault="00B435C2" w:rsidP="00956A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5C2" w:rsidRDefault="00B435C2" w:rsidP="00956A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5C2" w:rsidRPr="00C62733" w:rsidRDefault="00B435C2" w:rsidP="00956A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35C2" w:rsidRPr="00C62733" w:rsidSect="005362C3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E3" w:rsidRDefault="002359E3" w:rsidP="00707518">
      <w:pPr>
        <w:spacing w:after="0" w:line="240" w:lineRule="auto"/>
      </w:pPr>
      <w:r>
        <w:separator/>
      </w:r>
    </w:p>
  </w:endnote>
  <w:endnote w:type="continuationSeparator" w:id="0">
    <w:p w:rsidR="002359E3" w:rsidRDefault="002359E3" w:rsidP="0070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E3" w:rsidRDefault="002359E3" w:rsidP="00707518">
      <w:pPr>
        <w:spacing w:after="0" w:line="240" w:lineRule="auto"/>
      </w:pPr>
      <w:r>
        <w:separator/>
      </w:r>
    </w:p>
  </w:footnote>
  <w:footnote w:type="continuationSeparator" w:id="0">
    <w:p w:rsidR="002359E3" w:rsidRDefault="002359E3" w:rsidP="0070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6356"/>
      <w:docPartObj>
        <w:docPartGallery w:val="Page Numbers (Top of Page)"/>
        <w:docPartUnique/>
      </w:docPartObj>
    </w:sdtPr>
    <w:sdtEndPr/>
    <w:sdtContent>
      <w:p w:rsidR="00D32A5B" w:rsidRDefault="000D4D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2A5B" w:rsidRDefault="00D32A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04"/>
    <w:multiLevelType w:val="hybridMultilevel"/>
    <w:tmpl w:val="8AD8ECDA"/>
    <w:lvl w:ilvl="0" w:tplc="9F4CADF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0653C"/>
    <w:multiLevelType w:val="hybridMultilevel"/>
    <w:tmpl w:val="76C4CABE"/>
    <w:lvl w:ilvl="0" w:tplc="6068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032C4"/>
    <w:multiLevelType w:val="hybridMultilevel"/>
    <w:tmpl w:val="9C62EA98"/>
    <w:lvl w:ilvl="0" w:tplc="4538F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16E69"/>
    <w:multiLevelType w:val="multilevel"/>
    <w:tmpl w:val="0D8AA9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62475"/>
    <w:multiLevelType w:val="hybridMultilevel"/>
    <w:tmpl w:val="8BCEC166"/>
    <w:lvl w:ilvl="0" w:tplc="5016B5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706"/>
    <w:multiLevelType w:val="hybridMultilevel"/>
    <w:tmpl w:val="45E6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C6CFA"/>
    <w:multiLevelType w:val="hybridMultilevel"/>
    <w:tmpl w:val="95AEBBEE"/>
    <w:lvl w:ilvl="0" w:tplc="6ACEE31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C91E6F"/>
    <w:multiLevelType w:val="hybridMultilevel"/>
    <w:tmpl w:val="A85C7BCE"/>
    <w:lvl w:ilvl="0" w:tplc="DB1E9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734A6"/>
    <w:multiLevelType w:val="hybridMultilevel"/>
    <w:tmpl w:val="CFFA4900"/>
    <w:lvl w:ilvl="0" w:tplc="77662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671EF"/>
    <w:multiLevelType w:val="hybridMultilevel"/>
    <w:tmpl w:val="6E483E26"/>
    <w:lvl w:ilvl="0" w:tplc="A42A6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15B90"/>
    <w:multiLevelType w:val="hybridMultilevel"/>
    <w:tmpl w:val="BB543F70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9AA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329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B8F7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26A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62E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9CF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7A47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E835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4A667C8A"/>
    <w:multiLevelType w:val="hybridMultilevel"/>
    <w:tmpl w:val="F778606E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29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B8F7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26A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62E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9CF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7A47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E835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4E1009C9"/>
    <w:multiLevelType w:val="hybridMultilevel"/>
    <w:tmpl w:val="9C62EA98"/>
    <w:lvl w:ilvl="0" w:tplc="4538F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6A3659"/>
    <w:multiLevelType w:val="hybridMultilevel"/>
    <w:tmpl w:val="5E56742C"/>
    <w:lvl w:ilvl="0" w:tplc="409AB9A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04B7"/>
    <w:multiLevelType w:val="hybridMultilevel"/>
    <w:tmpl w:val="F06642F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3F7C0B"/>
    <w:multiLevelType w:val="hybridMultilevel"/>
    <w:tmpl w:val="BBF0746A"/>
    <w:lvl w:ilvl="0" w:tplc="427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851EF8"/>
    <w:multiLevelType w:val="hybridMultilevel"/>
    <w:tmpl w:val="40FEB9F0"/>
    <w:lvl w:ilvl="0" w:tplc="B3626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911E5F"/>
    <w:multiLevelType w:val="hybridMultilevel"/>
    <w:tmpl w:val="86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A711E"/>
    <w:multiLevelType w:val="hybridMultilevel"/>
    <w:tmpl w:val="0FBAAE7A"/>
    <w:lvl w:ilvl="0" w:tplc="C832A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882AAA"/>
    <w:multiLevelType w:val="hybridMultilevel"/>
    <w:tmpl w:val="D902E252"/>
    <w:lvl w:ilvl="0" w:tplc="84868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69057A"/>
    <w:multiLevelType w:val="hybridMultilevel"/>
    <w:tmpl w:val="86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7A44"/>
    <w:multiLevelType w:val="hybridMultilevel"/>
    <w:tmpl w:val="D33E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A6066"/>
    <w:multiLevelType w:val="hybridMultilevel"/>
    <w:tmpl w:val="1A92D494"/>
    <w:lvl w:ilvl="0" w:tplc="8128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58433E"/>
    <w:multiLevelType w:val="hybridMultilevel"/>
    <w:tmpl w:val="9BF6DCBC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5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23"/>
  </w:num>
  <w:num w:numId="11">
    <w:abstractNumId w:val="22"/>
  </w:num>
  <w:num w:numId="12">
    <w:abstractNumId w:val="14"/>
  </w:num>
  <w:num w:numId="13">
    <w:abstractNumId w:val="16"/>
  </w:num>
  <w:num w:numId="14">
    <w:abstractNumId w:val="18"/>
  </w:num>
  <w:num w:numId="15">
    <w:abstractNumId w:val="6"/>
  </w:num>
  <w:num w:numId="16">
    <w:abstractNumId w:val="12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3A"/>
    <w:rsid w:val="00002DE7"/>
    <w:rsid w:val="00005166"/>
    <w:rsid w:val="00014138"/>
    <w:rsid w:val="00031BDD"/>
    <w:rsid w:val="000364D0"/>
    <w:rsid w:val="00037598"/>
    <w:rsid w:val="00057041"/>
    <w:rsid w:val="000631AB"/>
    <w:rsid w:val="00066B00"/>
    <w:rsid w:val="000723D1"/>
    <w:rsid w:val="000727E0"/>
    <w:rsid w:val="00074193"/>
    <w:rsid w:val="000742CC"/>
    <w:rsid w:val="00081E57"/>
    <w:rsid w:val="00091254"/>
    <w:rsid w:val="0009220C"/>
    <w:rsid w:val="00092811"/>
    <w:rsid w:val="000B0F34"/>
    <w:rsid w:val="000B3726"/>
    <w:rsid w:val="000C0ABB"/>
    <w:rsid w:val="000C145F"/>
    <w:rsid w:val="000D24D9"/>
    <w:rsid w:val="000D4D08"/>
    <w:rsid w:val="000F0DD5"/>
    <w:rsid w:val="000F1E51"/>
    <w:rsid w:val="000F7D77"/>
    <w:rsid w:val="001011A6"/>
    <w:rsid w:val="00106741"/>
    <w:rsid w:val="00114C5C"/>
    <w:rsid w:val="00124F12"/>
    <w:rsid w:val="00132472"/>
    <w:rsid w:val="001350A5"/>
    <w:rsid w:val="001421BF"/>
    <w:rsid w:val="0014446A"/>
    <w:rsid w:val="00146D91"/>
    <w:rsid w:val="00152CE5"/>
    <w:rsid w:val="00182DE5"/>
    <w:rsid w:val="001A6BE0"/>
    <w:rsid w:val="001B2712"/>
    <w:rsid w:val="001B4636"/>
    <w:rsid w:val="001C07E9"/>
    <w:rsid w:val="001C1BBE"/>
    <w:rsid w:val="001C3543"/>
    <w:rsid w:val="001D072D"/>
    <w:rsid w:val="001E2133"/>
    <w:rsid w:val="001F15EE"/>
    <w:rsid w:val="002028BB"/>
    <w:rsid w:val="002059A4"/>
    <w:rsid w:val="00206013"/>
    <w:rsid w:val="002268BD"/>
    <w:rsid w:val="002268ED"/>
    <w:rsid w:val="002302BA"/>
    <w:rsid w:val="00231E9C"/>
    <w:rsid w:val="002359E3"/>
    <w:rsid w:val="00244550"/>
    <w:rsid w:val="002527C4"/>
    <w:rsid w:val="00254916"/>
    <w:rsid w:val="00255D9A"/>
    <w:rsid w:val="00257759"/>
    <w:rsid w:val="00263AD0"/>
    <w:rsid w:val="00264069"/>
    <w:rsid w:val="00275146"/>
    <w:rsid w:val="00287B6A"/>
    <w:rsid w:val="00293E2B"/>
    <w:rsid w:val="002A1B75"/>
    <w:rsid w:val="002A3E3F"/>
    <w:rsid w:val="002A4D01"/>
    <w:rsid w:val="002B47A4"/>
    <w:rsid w:val="002B5657"/>
    <w:rsid w:val="002B5B2D"/>
    <w:rsid w:val="002B7E68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33BA1"/>
    <w:rsid w:val="003416C7"/>
    <w:rsid w:val="00342020"/>
    <w:rsid w:val="00342A60"/>
    <w:rsid w:val="0035075B"/>
    <w:rsid w:val="0035134B"/>
    <w:rsid w:val="003554C6"/>
    <w:rsid w:val="0035579A"/>
    <w:rsid w:val="0037085A"/>
    <w:rsid w:val="00376027"/>
    <w:rsid w:val="00377D27"/>
    <w:rsid w:val="003804EA"/>
    <w:rsid w:val="003827BA"/>
    <w:rsid w:val="003B0698"/>
    <w:rsid w:val="003C43A1"/>
    <w:rsid w:val="003D3C26"/>
    <w:rsid w:val="003E4222"/>
    <w:rsid w:val="003E6135"/>
    <w:rsid w:val="003F5B93"/>
    <w:rsid w:val="004011B4"/>
    <w:rsid w:val="00401FC2"/>
    <w:rsid w:val="00403591"/>
    <w:rsid w:val="0041199E"/>
    <w:rsid w:val="00414131"/>
    <w:rsid w:val="00415A8E"/>
    <w:rsid w:val="00420DED"/>
    <w:rsid w:val="00422FC7"/>
    <w:rsid w:val="0043015F"/>
    <w:rsid w:val="0045577F"/>
    <w:rsid w:val="0048125D"/>
    <w:rsid w:val="00483D38"/>
    <w:rsid w:val="00486560"/>
    <w:rsid w:val="004926BB"/>
    <w:rsid w:val="00494CB9"/>
    <w:rsid w:val="00495012"/>
    <w:rsid w:val="00495DB9"/>
    <w:rsid w:val="00497B8B"/>
    <w:rsid w:val="004A1672"/>
    <w:rsid w:val="004A34AC"/>
    <w:rsid w:val="004A6385"/>
    <w:rsid w:val="004B047E"/>
    <w:rsid w:val="004B2130"/>
    <w:rsid w:val="004C6714"/>
    <w:rsid w:val="004D3F9E"/>
    <w:rsid w:val="004D4F21"/>
    <w:rsid w:val="004E2A97"/>
    <w:rsid w:val="004E59D4"/>
    <w:rsid w:val="004E6824"/>
    <w:rsid w:val="004F04FF"/>
    <w:rsid w:val="004F06DE"/>
    <w:rsid w:val="004F42DC"/>
    <w:rsid w:val="004F494E"/>
    <w:rsid w:val="004F610E"/>
    <w:rsid w:val="004F7FF5"/>
    <w:rsid w:val="0050104F"/>
    <w:rsid w:val="005012F6"/>
    <w:rsid w:val="00510106"/>
    <w:rsid w:val="00510BB4"/>
    <w:rsid w:val="00511E3D"/>
    <w:rsid w:val="0051363A"/>
    <w:rsid w:val="00516700"/>
    <w:rsid w:val="005225DC"/>
    <w:rsid w:val="0052560B"/>
    <w:rsid w:val="00532030"/>
    <w:rsid w:val="00533DF5"/>
    <w:rsid w:val="00533F2E"/>
    <w:rsid w:val="00535488"/>
    <w:rsid w:val="005362C3"/>
    <w:rsid w:val="00550735"/>
    <w:rsid w:val="0057249F"/>
    <w:rsid w:val="005726A2"/>
    <w:rsid w:val="00572BF5"/>
    <w:rsid w:val="0057533D"/>
    <w:rsid w:val="005827E1"/>
    <w:rsid w:val="005839C8"/>
    <w:rsid w:val="00584379"/>
    <w:rsid w:val="00586790"/>
    <w:rsid w:val="00586D5E"/>
    <w:rsid w:val="00590534"/>
    <w:rsid w:val="00597BA5"/>
    <w:rsid w:val="005A3F1A"/>
    <w:rsid w:val="005A49AA"/>
    <w:rsid w:val="005A61A9"/>
    <w:rsid w:val="005B1022"/>
    <w:rsid w:val="005B735B"/>
    <w:rsid w:val="005B77F0"/>
    <w:rsid w:val="005C5301"/>
    <w:rsid w:val="005D16E7"/>
    <w:rsid w:val="005D46BE"/>
    <w:rsid w:val="005D682E"/>
    <w:rsid w:val="005E5279"/>
    <w:rsid w:val="005E5780"/>
    <w:rsid w:val="005E6200"/>
    <w:rsid w:val="005E738E"/>
    <w:rsid w:val="0061672B"/>
    <w:rsid w:val="00621C62"/>
    <w:rsid w:val="00632894"/>
    <w:rsid w:val="00636466"/>
    <w:rsid w:val="006434BB"/>
    <w:rsid w:val="00647E75"/>
    <w:rsid w:val="00661F0B"/>
    <w:rsid w:val="00674873"/>
    <w:rsid w:val="00684D45"/>
    <w:rsid w:val="00684E3E"/>
    <w:rsid w:val="00695BC7"/>
    <w:rsid w:val="00696722"/>
    <w:rsid w:val="0069764A"/>
    <w:rsid w:val="006B467B"/>
    <w:rsid w:val="006C40AB"/>
    <w:rsid w:val="006C6864"/>
    <w:rsid w:val="006C7B9F"/>
    <w:rsid w:val="006D7362"/>
    <w:rsid w:val="006D767F"/>
    <w:rsid w:val="006E3914"/>
    <w:rsid w:val="006E3F3A"/>
    <w:rsid w:val="006E42F9"/>
    <w:rsid w:val="006E5AC2"/>
    <w:rsid w:val="006F3EEA"/>
    <w:rsid w:val="006F4B24"/>
    <w:rsid w:val="00701D97"/>
    <w:rsid w:val="0070322F"/>
    <w:rsid w:val="00704D3F"/>
    <w:rsid w:val="00707518"/>
    <w:rsid w:val="00707C11"/>
    <w:rsid w:val="00722F61"/>
    <w:rsid w:val="00737BBB"/>
    <w:rsid w:val="00737D54"/>
    <w:rsid w:val="00741675"/>
    <w:rsid w:val="007420A1"/>
    <w:rsid w:val="0075243E"/>
    <w:rsid w:val="00760027"/>
    <w:rsid w:val="00763CA7"/>
    <w:rsid w:val="007646C9"/>
    <w:rsid w:val="00767556"/>
    <w:rsid w:val="00767EFD"/>
    <w:rsid w:val="0077662F"/>
    <w:rsid w:val="00783861"/>
    <w:rsid w:val="007838F0"/>
    <w:rsid w:val="00785942"/>
    <w:rsid w:val="0079194B"/>
    <w:rsid w:val="007A0A7F"/>
    <w:rsid w:val="007A44CE"/>
    <w:rsid w:val="007A7C89"/>
    <w:rsid w:val="007B00D1"/>
    <w:rsid w:val="007B321D"/>
    <w:rsid w:val="007B73F9"/>
    <w:rsid w:val="007B7571"/>
    <w:rsid w:val="007C0A00"/>
    <w:rsid w:val="007C1D13"/>
    <w:rsid w:val="007C4AA8"/>
    <w:rsid w:val="007D3730"/>
    <w:rsid w:val="007D6A97"/>
    <w:rsid w:val="007E3BC0"/>
    <w:rsid w:val="007F3738"/>
    <w:rsid w:val="007F4D5B"/>
    <w:rsid w:val="00800DDE"/>
    <w:rsid w:val="00801A1D"/>
    <w:rsid w:val="00806EBF"/>
    <w:rsid w:val="008250E5"/>
    <w:rsid w:val="00825478"/>
    <w:rsid w:val="00834128"/>
    <w:rsid w:val="008414D8"/>
    <w:rsid w:val="00841A4E"/>
    <w:rsid w:val="00841F55"/>
    <w:rsid w:val="008458C5"/>
    <w:rsid w:val="008612D9"/>
    <w:rsid w:val="0086325F"/>
    <w:rsid w:val="00873E41"/>
    <w:rsid w:val="00875542"/>
    <w:rsid w:val="0088733C"/>
    <w:rsid w:val="008948A8"/>
    <w:rsid w:val="008961DF"/>
    <w:rsid w:val="008A15B5"/>
    <w:rsid w:val="008D759A"/>
    <w:rsid w:val="008E2488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52AFA"/>
    <w:rsid w:val="009554CB"/>
    <w:rsid w:val="00956ADD"/>
    <w:rsid w:val="00961AA8"/>
    <w:rsid w:val="009621B9"/>
    <w:rsid w:val="00971204"/>
    <w:rsid w:val="00977473"/>
    <w:rsid w:val="00980A1A"/>
    <w:rsid w:val="0098458D"/>
    <w:rsid w:val="00986EC2"/>
    <w:rsid w:val="0099632C"/>
    <w:rsid w:val="009B07F2"/>
    <w:rsid w:val="009C09B9"/>
    <w:rsid w:val="009C78AA"/>
    <w:rsid w:val="009D2F11"/>
    <w:rsid w:val="009D34DC"/>
    <w:rsid w:val="009D7B79"/>
    <w:rsid w:val="009E0662"/>
    <w:rsid w:val="009E3FC3"/>
    <w:rsid w:val="009E5B18"/>
    <w:rsid w:val="009F7BD2"/>
    <w:rsid w:val="00A018A2"/>
    <w:rsid w:val="00A25A1E"/>
    <w:rsid w:val="00A30AC9"/>
    <w:rsid w:val="00A31681"/>
    <w:rsid w:val="00A319D9"/>
    <w:rsid w:val="00A350EE"/>
    <w:rsid w:val="00A454BE"/>
    <w:rsid w:val="00A5057C"/>
    <w:rsid w:val="00A740D3"/>
    <w:rsid w:val="00A84360"/>
    <w:rsid w:val="00A92463"/>
    <w:rsid w:val="00A96C40"/>
    <w:rsid w:val="00AA0303"/>
    <w:rsid w:val="00AA1BD6"/>
    <w:rsid w:val="00AA3B1E"/>
    <w:rsid w:val="00AB2937"/>
    <w:rsid w:val="00AC3C31"/>
    <w:rsid w:val="00AC56FD"/>
    <w:rsid w:val="00AF50B5"/>
    <w:rsid w:val="00AF57CC"/>
    <w:rsid w:val="00B1187F"/>
    <w:rsid w:val="00B15641"/>
    <w:rsid w:val="00B20AD7"/>
    <w:rsid w:val="00B2118B"/>
    <w:rsid w:val="00B2142A"/>
    <w:rsid w:val="00B21DB2"/>
    <w:rsid w:val="00B21FBF"/>
    <w:rsid w:val="00B307FA"/>
    <w:rsid w:val="00B338B6"/>
    <w:rsid w:val="00B36B75"/>
    <w:rsid w:val="00B373D9"/>
    <w:rsid w:val="00B422F4"/>
    <w:rsid w:val="00B435C2"/>
    <w:rsid w:val="00B439C8"/>
    <w:rsid w:val="00B46E82"/>
    <w:rsid w:val="00B50590"/>
    <w:rsid w:val="00B51F98"/>
    <w:rsid w:val="00B5367F"/>
    <w:rsid w:val="00B538F7"/>
    <w:rsid w:val="00B64279"/>
    <w:rsid w:val="00B656B5"/>
    <w:rsid w:val="00B9623A"/>
    <w:rsid w:val="00BA2477"/>
    <w:rsid w:val="00BA798B"/>
    <w:rsid w:val="00BC3B43"/>
    <w:rsid w:val="00BC4ABF"/>
    <w:rsid w:val="00BC7E45"/>
    <w:rsid w:val="00BD54F2"/>
    <w:rsid w:val="00BE10A0"/>
    <w:rsid w:val="00BE2781"/>
    <w:rsid w:val="00BE773A"/>
    <w:rsid w:val="00BE7958"/>
    <w:rsid w:val="00C0465F"/>
    <w:rsid w:val="00C12187"/>
    <w:rsid w:val="00C15075"/>
    <w:rsid w:val="00C21D71"/>
    <w:rsid w:val="00C269E5"/>
    <w:rsid w:val="00C27E7A"/>
    <w:rsid w:val="00C34E6E"/>
    <w:rsid w:val="00C4601B"/>
    <w:rsid w:val="00C50634"/>
    <w:rsid w:val="00C62733"/>
    <w:rsid w:val="00C674D6"/>
    <w:rsid w:val="00C7278A"/>
    <w:rsid w:val="00C84776"/>
    <w:rsid w:val="00C85916"/>
    <w:rsid w:val="00C90442"/>
    <w:rsid w:val="00C939E7"/>
    <w:rsid w:val="00C950F7"/>
    <w:rsid w:val="00CA29CB"/>
    <w:rsid w:val="00CA6970"/>
    <w:rsid w:val="00CA6D1A"/>
    <w:rsid w:val="00CB0042"/>
    <w:rsid w:val="00CB3FB5"/>
    <w:rsid w:val="00CC2088"/>
    <w:rsid w:val="00CC4362"/>
    <w:rsid w:val="00CC4B3F"/>
    <w:rsid w:val="00CC54EA"/>
    <w:rsid w:val="00CF0D1C"/>
    <w:rsid w:val="00CF6F02"/>
    <w:rsid w:val="00D021F4"/>
    <w:rsid w:val="00D02344"/>
    <w:rsid w:val="00D04683"/>
    <w:rsid w:val="00D0481E"/>
    <w:rsid w:val="00D0644C"/>
    <w:rsid w:val="00D113F2"/>
    <w:rsid w:val="00D11FD8"/>
    <w:rsid w:val="00D132FE"/>
    <w:rsid w:val="00D17000"/>
    <w:rsid w:val="00D26F75"/>
    <w:rsid w:val="00D30C0D"/>
    <w:rsid w:val="00D32A5B"/>
    <w:rsid w:val="00D33401"/>
    <w:rsid w:val="00D369AA"/>
    <w:rsid w:val="00D41C89"/>
    <w:rsid w:val="00D45D28"/>
    <w:rsid w:val="00D52221"/>
    <w:rsid w:val="00D530B5"/>
    <w:rsid w:val="00D5686C"/>
    <w:rsid w:val="00D6611D"/>
    <w:rsid w:val="00D72FB4"/>
    <w:rsid w:val="00D75503"/>
    <w:rsid w:val="00D8384E"/>
    <w:rsid w:val="00D911D3"/>
    <w:rsid w:val="00D9269F"/>
    <w:rsid w:val="00D93506"/>
    <w:rsid w:val="00D95423"/>
    <w:rsid w:val="00DA6D30"/>
    <w:rsid w:val="00DA7A73"/>
    <w:rsid w:val="00DB344C"/>
    <w:rsid w:val="00DB5939"/>
    <w:rsid w:val="00DB5D53"/>
    <w:rsid w:val="00DC3F1F"/>
    <w:rsid w:val="00DD3139"/>
    <w:rsid w:val="00DD4521"/>
    <w:rsid w:val="00DD7ADD"/>
    <w:rsid w:val="00DE3C65"/>
    <w:rsid w:val="00DF19CC"/>
    <w:rsid w:val="00E0259D"/>
    <w:rsid w:val="00E058DF"/>
    <w:rsid w:val="00E10CF6"/>
    <w:rsid w:val="00E13D3A"/>
    <w:rsid w:val="00E17979"/>
    <w:rsid w:val="00E22007"/>
    <w:rsid w:val="00E2712D"/>
    <w:rsid w:val="00E27786"/>
    <w:rsid w:val="00E30712"/>
    <w:rsid w:val="00E425AE"/>
    <w:rsid w:val="00E44BD5"/>
    <w:rsid w:val="00E52433"/>
    <w:rsid w:val="00E53710"/>
    <w:rsid w:val="00E543FB"/>
    <w:rsid w:val="00E64ED7"/>
    <w:rsid w:val="00E75C5F"/>
    <w:rsid w:val="00E75CE9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F021C5"/>
    <w:rsid w:val="00F0686A"/>
    <w:rsid w:val="00F16BE3"/>
    <w:rsid w:val="00F17D79"/>
    <w:rsid w:val="00F20A1D"/>
    <w:rsid w:val="00F26DC3"/>
    <w:rsid w:val="00F27163"/>
    <w:rsid w:val="00F27EF3"/>
    <w:rsid w:val="00F31A53"/>
    <w:rsid w:val="00F43BD1"/>
    <w:rsid w:val="00F45C19"/>
    <w:rsid w:val="00F52988"/>
    <w:rsid w:val="00F55278"/>
    <w:rsid w:val="00F64EA6"/>
    <w:rsid w:val="00F81753"/>
    <w:rsid w:val="00F8508A"/>
    <w:rsid w:val="00F86D04"/>
    <w:rsid w:val="00F86D30"/>
    <w:rsid w:val="00F93B36"/>
    <w:rsid w:val="00F96F0C"/>
    <w:rsid w:val="00F9791D"/>
    <w:rsid w:val="00FA7682"/>
    <w:rsid w:val="00FB6241"/>
    <w:rsid w:val="00FB7247"/>
    <w:rsid w:val="00FC431B"/>
    <w:rsid w:val="00FC4D44"/>
    <w:rsid w:val="00FC62E0"/>
    <w:rsid w:val="00FD3BE0"/>
    <w:rsid w:val="00FD3C1E"/>
    <w:rsid w:val="00FE194A"/>
    <w:rsid w:val="00FE5576"/>
    <w:rsid w:val="00FE56F0"/>
    <w:rsid w:val="00FE661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01"/>
    <w:pPr>
      <w:ind w:left="720"/>
      <w:contextualSpacing/>
    </w:pPr>
  </w:style>
  <w:style w:type="table" w:styleId="a4">
    <w:name w:val="Table Grid"/>
    <w:basedOn w:val="a1"/>
    <w:uiPriority w:val="59"/>
    <w:rsid w:val="00FF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2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518"/>
  </w:style>
  <w:style w:type="paragraph" w:styleId="a7">
    <w:name w:val="footer"/>
    <w:basedOn w:val="a"/>
    <w:link w:val="a8"/>
    <w:uiPriority w:val="99"/>
    <w:semiHidden/>
    <w:unhideWhenUsed/>
    <w:rsid w:val="0070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18"/>
  </w:style>
  <w:style w:type="paragraph" w:styleId="a9">
    <w:name w:val="Balloon Text"/>
    <w:basedOn w:val="a"/>
    <w:link w:val="aa"/>
    <w:uiPriority w:val="99"/>
    <w:semiHidden/>
    <w:unhideWhenUsed/>
    <w:rsid w:val="00F0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1C5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semiHidden/>
    <w:unhideWhenUsed/>
    <w:rsid w:val="007646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646C9"/>
    <w:rPr>
      <w:rFonts w:ascii="Calibri" w:eastAsia="Calibri" w:hAnsi="Calibri" w:cs="Times New Roman"/>
      <w:sz w:val="20"/>
      <w:szCs w:val="20"/>
    </w:rPr>
  </w:style>
  <w:style w:type="character" w:styleId="ad">
    <w:name w:val="Emphasis"/>
    <w:qFormat/>
    <w:rsid w:val="00741675"/>
    <w:rPr>
      <w:rFonts w:ascii="Times New Roman" w:hAnsi="Times New Roman" w:cs="Times New Roman"/>
      <w:i/>
    </w:rPr>
  </w:style>
  <w:style w:type="paragraph" w:styleId="ae">
    <w:name w:val="Body Text"/>
    <w:basedOn w:val="a"/>
    <w:link w:val="af"/>
    <w:uiPriority w:val="99"/>
    <w:semiHidden/>
    <w:unhideWhenUsed/>
    <w:rsid w:val="00956A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56ADD"/>
  </w:style>
  <w:style w:type="character" w:customStyle="1" w:styleId="20">
    <w:name w:val="Заголовок 2 Знак"/>
    <w:basedOn w:val="a0"/>
    <w:link w:val="2"/>
    <w:uiPriority w:val="9"/>
    <w:rsid w:val="00FC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672B"/>
  </w:style>
  <w:style w:type="paragraph" w:styleId="af0">
    <w:name w:val="Normal (Web)"/>
    <w:basedOn w:val="a"/>
    <w:uiPriority w:val="99"/>
    <w:semiHidden/>
    <w:unhideWhenUsed/>
    <w:rsid w:val="00B1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41C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1C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1C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1C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1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01"/>
    <w:pPr>
      <w:ind w:left="720"/>
      <w:contextualSpacing/>
    </w:pPr>
  </w:style>
  <w:style w:type="table" w:styleId="a4">
    <w:name w:val="Table Grid"/>
    <w:basedOn w:val="a1"/>
    <w:uiPriority w:val="59"/>
    <w:rsid w:val="00FF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2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518"/>
  </w:style>
  <w:style w:type="paragraph" w:styleId="a7">
    <w:name w:val="footer"/>
    <w:basedOn w:val="a"/>
    <w:link w:val="a8"/>
    <w:uiPriority w:val="99"/>
    <w:semiHidden/>
    <w:unhideWhenUsed/>
    <w:rsid w:val="0070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18"/>
  </w:style>
  <w:style w:type="paragraph" w:styleId="a9">
    <w:name w:val="Balloon Text"/>
    <w:basedOn w:val="a"/>
    <w:link w:val="aa"/>
    <w:uiPriority w:val="99"/>
    <w:semiHidden/>
    <w:unhideWhenUsed/>
    <w:rsid w:val="00F0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1C5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semiHidden/>
    <w:unhideWhenUsed/>
    <w:rsid w:val="007646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646C9"/>
    <w:rPr>
      <w:rFonts w:ascii="Calibri" w:eastAsia="Calibri" w:hAnsi="Calibri" w:cs="Times New Roman"/>
      <w:sz w:val="20"/>
      <w:szCs w:val="20"/>
    </w:rPr>
  </w:style>
  <w:style w:type="character" w:styleId="ad">
    <w:name w:val="Emphasis"/>
    <w:qFormat/>
    <w:rsid w:val="00741675"/>
    <w:rPr>
      <w:rFonts w:ascii="Times New Roman" w:hAnsi="Times New Roman" w:cs="Times New Roman"/>
      <w:i/>
    </w:rPr>
  </w:style>
  <w:style w:type="paragraph" w:styleId="ae">
    <w:name w:val="Body Text"/>
    <w:basedOn w:val="a"/>
    <w:link w:val="af"/>
    <w:uiPriority w:val="99"/>
    <w:semiHidden/>
    <w:unhideWhenUsed/>
    <w:rsid w:val="00956A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56ADD"/>
  </w:style>
  <w:style w:type="character" w:customStyle="1" w:styleId="20">
    <w:name w:val="Заголовок 2 Знак"/>
    <w:basedOn w:val="a0"/>
    <w:link w:val="2"/>
    <w:uiPriority w:val="9"/>
    <w:rsid w:val="00FC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672B"/>
  </w:style>
  <w:style w:type="paragraph" w:styleId="af0">
    <w:name w:val="Normal (Web)"/>
    <w:basedOn w:val="a"/>
    <w:uiPriority w:val="99"/>
    <w:semiHidden/>
    <w:unhideWhenUsed/>
    <w:rsid w:val="00B1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41C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41C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1C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1C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1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Serega</cp:lastModifiedBy>
  <cp:revision>2</cp:revision>
  <cp:lastPrinted>2016-05-16T05:53:00Z</cp:lastPrinted>
  <dcterms:created xsi:type="dcterms:W3CDTF">2016-05-16T14:28:00Z</dcterms:created>
  <dcterms:modified xsi:type="dcterms:W3CDTF">2016-05-16T14:28:00Z</dcterms:modified>
</cp:coreProperties>
</file>