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B387F" w14:textId="77777777" w:rsidR="00652D72" w:rsidRDefault="00647898" w:rsidP="0064789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58F0A8C" wp14:editId="0B948CE1">
            <wp:extent cx="9248775" cy="16764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36238" w14:textId="77777777" w:rsidR="00652D72" w:rsidRDefault="00652D72" w:rsidP="00647898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3B603E" w:rsidRPr="003B603E" w14:paraId="2029B05E" w14:textId="77777777" w:rsidTr="001711F3">
        <w:tc>
          <w:tcPr>
            <w:tcW w:w="7280" w:type="dxa"/>
            <w:shd w:val="clear" w:color="auto" w:fill="auto"/>
          </w:tcPr>
          <w:p w14:paraId="256BAF20" w14:textId="77777777" w:rsidR="003B603E" w:rsidRPr="003B603E" w:rsidRDefault="003B603E" w:rsidP="003B60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Исх. № 03/15</w:t>
            </w:r>
          </w:p>
          <w:p w14:paraId="2F2A1B9F" w14:textId="77777777" w:rsidR="003B603E" w:rsidRPr="003B603E" w:rsidRDefault="003B603E" w:rsidP="003B60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«17» апреля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B603E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2015 г</w:t>
              </w:r>
            </w:smartTag>
            <w:r w:rsidRPr="003B6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80" w:type="dxa"/>
            <w:shd w:val="clear" w:color="auto" w:fill="auto"/>
          </w:tcPr>
          <w:p w14:paraId="7D7267B1" w14:textId="77777777" w:rsidR="003B603E" w:rsidRPr="003B603E" w:rsidRDefault="003B603E" w:rsidP="003B603E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Председателю Совета по оценочной деятельности при Министерстве экономического развития РФ</w:t>
            </w:r>
          </w:p>
          <w:p w14:paraId="2900F5B3" w14:textId="77777777" w:rsidR="003B603E" w:rsidRPr="003B603E" w:rsidRDefault="003B603E" w:rsidP="003B603E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Улюкаеву А.В.</w:t>
            </w:r>
          </w:p>
          <w:p w14:paraId="24DEAC5F" w14:textId="77777777" w:rsidR="003B603E" w:rsidRPr="003B603E" w:rsidRDefault="003B603E" w:rsidP="003B603E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D8771E9" w14:textId="77777777" w:rsidR="003B603E" w:rsidRPr="003B603E" w:rsidRDefault="003B603E" w:rsidP="003B603E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A5FCCE1" w14:textId="77777777" w:rsidR="003B603E" w:rsidRPr="003B603E" w:rsidRDefault="003B603E" w:rsidP="003B603E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843BF8F" w14:textId="77777777" w:rsidR="003B603E" w:rsidRPr="003B603E" w:rsidRDefault="003B603E" w:rsidP="003B603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Уважаемый Алексей Валентинович!</w:t>
      </w:r>
    </w:p>
    <w:p w14:paraId="6A18B979" w14:textId="77777777" w:rsidR="003B603E" w:rsidRPr="003B603E" w:rsidRDefault="003B603E" w:rsidP="003B603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апреля </w:t>
      </w:r>
      <w:smartTag w:uri="urn:schemas-microsoft-com:office:smarttags" w:element="metricconverter">
        <w:smartTagPr>
          <w:attr w:name="ProductID" w:val="2015 г"/>
        </w:smartTagPr>
        <w:r w:rsidRPr="003B603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2015 г</w:t>
        </w:r>
      </w:smartTag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состоится заседание Совета по оценочной деятельности  при  </w:t>
      </w:r>
      <w:r w:rsidRPr="003B603E">
        <w:rPr>
          <w:rFonts w:ascii="Times New Roman" w:eastAsia="Calibri" w:hAnsi="Times New Roman" w:cs="Times New Roman"/>
          <w:sz w:val="24"/>
          <w:szCs w:val="24"/>
          <w:shd w:val="clear" w:color="auto" w:fill="F5F7F7"/>
        </w:rPr>
        <w:t xml:space="preserve">Минэкономразвития РФ, на котором будут обсуждаться проекты ФСО № 1-3. </w:t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членов Регионального совета по оценочной деятельности  Волгоградской области, представителей СРО оценщиков </w:t>
      </w:r>
      <w:r w:rsidRPr="003B603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(Постановление Губернатора Волгоградской области  от 19 февраля </w:t>
      </w:r>
      <w:smartTag w:uri="urn:schemas-microsoft-com:office:smarttags" w:element="metricconverter">
        <w:smartTagPr>
          <w:attr w:name="ProductID" w:val="2013 г"/>
        </w:smartTagPr>
        <w:r w:rsidRPr="003B603E">
          <w:rPr>
            <w:rFonts w:ascii="Times New Roman" w:eastAsia="Times New Roman" w:hAnsi="Times New Roman" w:cs="Times New Roman"/>
            <w:i/>
            <w:color w:val="000000"/>
            <w:sz w:val="18"/>
            <w:szCs w:val="18"/>
            <w:lang w:eastAsia="ru-RU"/>
          </w:rPr>
          <w:t>2013 г</w:t>
        </w:r>
      </w:smartTag>
      <w:r w:rsidRPr="003B603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. N 146 «Об образовании регионального совета по оценочной деятельности в Волгоградской области)</w:t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возник ряд существенных вопросов и предложений, направленных на совершенствование этих стандартов. Просим Вас рассмотреть и принять во внимание нашу позицию, которая изложена в таблице:</w:t>
      </w:r>
    </w:p>
    <w:p w14:paraId="51903FB5" w14:textId="77777777" w:rsidR="003B603E" w:rsidRPr="003B603E" w:rsidRDefault="003B603E" w:rsidP="003B603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603E">
        <w:rPr>
          <w:rFonts w:ascii="Times New Roman" w:eastAsia="Calibri" w:hAnsi="Times New Roman" w:cs="Times New Roman"/>
          <w:b/>
          <w:sz w:val="24"/>
          <w:szCs w:val="24"/>
          <w:highlight w:val="green"/>
        </w:rPr>
        <w:t>Дополнения</w:t>
      </w:r>
      <w:r w:rsidRPr="003B603E">
        <w:rPr>
          <w:rFonts w:ascii="Times New Roman" w:eastAsia="Calibri" w:hAnsi="Times New Roman" w:cs="Times New Roman"/>
          <w:b/>
          <w:sz w:val="24"/>
          <w:szCs w:val="24"/>
        </w:rPr>
        <w:t xml:space="preserve"> – выделены зеленой заливкой.</w:t>
      </w:r>
    </w:p>
    <w:p w14:paraId="25E8DA0C" w14:textId="77777777" w:rsidR="003B603E" w:rsidRPr="003B603E" w:rsidRDefault="003B603E" w:rsidP="003B603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603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Удаления </w:t>
      </w:r>
      <w:r w:rsidRPr="003B603E">
        <w:rPr>
          <w:rFonts w:ascii="Times New Roman" w:eastAsia="Calibri" w:hAnsi="Times New Roman" w:cs="Times New Roman"/>
          <w:b/>
          <w:sz w:val="24"/>
          <w:szCs w:val="24"/>
        </w:rPr>
        <w:t>из текущей версии проекта стандартов – красным шрифтом.</w:t>
      </w:r>
    </w:p>
    <w:p w14:paraId="7101C949" w14:textId="77777777" w:rsidR="003B603E" w:rsidRPr="003B603E" w:rsidRDefault="003B603E" w:rsidP="003B603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603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ФСО 1</w:t>
      </w:r>
      <w:r w:rsidRPr="003B60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B603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Общие понятия оценки</w:t>
      </w:r>
      <w:r w:rsidRPr="003B603E">
        <w:rPr>
          <w:rFonts w:ascii="Times New Roman" w:eastAsia="Calibri" w:hAnsi="Times New Roman" w:cs="Times New Roman"/>
          <w:b/>
          <w:bCs/>
          <w:sz w:val="24"/>
          <w:szCs w:val="24"/>
        </w:rPr>
        <w:t>, подходы и требования</w:t>
      </w:r>
    </w:p>
    <w:p w14:paraId="6C93E7EF" w14:textId="77777777" w:rsidR="003B603E" w:rsidRPr="003B603E" w:rsidRDefault="003B603E" w:rsidP="003B603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603E">
        <w:rPr>
          <w:rFonts w:ascii="Times New Roman" w:eastAsia="Calibri" w:hAnsi="Times New Roman" w:cs="Times New Roman"/>
          <w:b/>
          <w:bCs/>
          <w:sz w:val="24"/>
          <w:szCs w:val="24"/>
        </w:rPr>
        <w:t>к проведению оценки</w:t>
      </w:r>
    </w:p>
    <w:p w14:paraId="0135A3C1" w14:textId="77777777" w:rsidR="003B603E" w:rsidRPr="003B603E" w:rsidRDefault="003B603E" w:rsidP="003B603E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03E">
        <w:rPr>
          <w:rFonts w:ascii="Times New Roman" w:eastAsia="Calibri" w:hAnsi="Times New Roman" w:cs="Times New Roman"/>
          <w:sz w:val="24"/>
          <w:szCs w:val="24"/>
        </w:rPr>
        <w:t xml:space="preserve">В предлагаемом </w:t>
      </w:r>
      <w:r w:rsidRPr="003B603E">
        <w:rPr>
          <w:rFonts w:ascii="Times New Roman" w:eastAsia="Calibri" w:hAnsi="Times New Roman" w:cs="Times New Roman"/>
          <w:b/>
          <w:sz w:val="24"/>
          <w:szCs w:val="24"/>
        </w:rPr>
        <w:t>проекте ФСО 1 исключены определения ряда терминов и понятий,</w:t>
      </w:r>
      <w:r w:rsidRPr="003B603E">
        <w:rPr>
          <w:rFonts w:ascii="Times New Roman" w:eastAsia="Calibri" w:hAnsi="Times New Roman" w:cs="Times New Roman"/>
          <w:sz w:val="24"/>
          <w:szCs w:val="24"/>
        </w:rPr>
        <w:t xml:space="preserve"> которые, однако, фактически используются, как по тексту ФСО 1, так и по тексту ФСО 3, ФСО 7.</w:t>
      </w:r>
    </w:p>
    <w:p w14:paraId="01D7D432" w14:textId="77777777" w:rsidR="003B603E" w:rsidRPr="003B603E" w:rsidRDefault="003B603E" w:rsidP="003B603E">
      <w:pPr>
        <w:spacing w:after="12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03E">
        <w:rPr>
          <w:rFonts w:ascii="Times New Roman" w:eastAsia="Calibri" w:hAnsi="Times New Roman" w:cs="Times New Roman"/>
          <w:b/>
          <w:sz w:val="24"/>
          <w:szCs w:val="24"/>
        </w:rPr>
        <w:t>Информация считается достаточной</w:t>
      </w:r>
      <w:r w:rsidRPr="003B603E">
        <w:rPr>
          <w:rFonts w:ascii="Times New Roman" w:eastAsia="Calibri" w:hAnsi="Times New Roman" w:cs="Times New Roman"/>
          <w:sz w:val="24"/>
          <w:szCs w:val="24"/>
        </w:rPr>
        <w:t>, если использование дополнительной информации не ведет к существенному изменению характеристик, использованных при проведении оценки объекта оценки, а также не ведет к существенному изменению итоговой величины стоимости объекта оценки.</w:t>
      </w:r>
    </w:p>
    <w:p w14:paraId="4FF434AB" w14:textId="77777777" w:rsidR="003B603E" w:rsidRPr="003B603E" w:rsidRDefault="003B603E" w:rsidP="003B603E">
      <w:pPr>
        <w:spacing w:after="12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03E">
        <w:rPr>
          <w:rFonts w:ascii="Times New Roman" w:eastAsia="Calibri" w:hAnsi="Times New Roman" w:cs="Times New Roman"/>
          <w:b/>
          <w:sz w:val="24"/>
          <w:szCs w:val="24"/>
        </w:rPr>
        <w:t>Информация считается достоверной,</w:t>
      </w:r>
      <w:r w:rsidRPr="003B603E">
        <w:rPr>
          <w:rFonts w:ascii="Times New Roman" w:eastAsia="Calibri" w:hAnsi="Times New Roman" w:cs="Times New Roman"/>
          <w:sz w:val="24"/>
          <w:szCs w:val="24"/>
        </w:rPr>
        <w:t xml:space="preserve"> если данная информация соответствует действительности и позволяет пользователю отчета об оценке делать правильные выводы о характеристиках, исследовавшихся оценщиком при проведении оценки и определении итоговой величины стоимости объекта оценки, и принимать базирующиеся на этих выводах обоснованные решения.</w:t>
      </w:r>
    </w:p>
    <w:p w14:paraId="6695536E" w14:textId="77777777" w:rsidR="003B603E" w:rsidRPr="003B603E" w:rsidRDefault="003B603E" w:rsidP="003B603E">
      <w:pPr>
        <w:spacing w:after="20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03E">
        <w:rPr>
          <w:rFonts w:ascii="Times New Roman" w:eastAsia="Calibri" w:hAnsi="Times New Roman" w:cs="Times New Roman"/>
          <w:b/>
          <w:sz w:val="24"/>
          <w:szCs w:val="24"/>
        </w:rPr>
        <w:t>Затратами на воспроизводство</w:t>
      </w:r>
      <w:r w:rsidRPr="003B603E">
        <w:rPr>
          <w:rFonts w:ascii="Times New Roman" w:eastAsia="Calibri" w:hAnsi="Times New Roman" w:cs="Times New Roman"/>
          <w:sz w:val="24"/>
          <w:szCs w:val="24"/>
        </w:rPr>
        <w:t xml:space="preserve"> объекта оценки являются затраты, необходимые для создания точной копии объекта оценки с использованием применявшихся при создании объекта оценки материалов и технологий. </w:t>
      </w:r>
    </w:p>
    <w:p w14:paraId="09AE833F" w14:textId="77777777" w:rsidR="003B603E" w:rsidRPr="003B603E" w:rsidRDefault="003B603E" w:rsidP="003B603E">
      <w:pPr>
        <w:spacing w:after="20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03E">
        <w:rPr>
          <w:rFonts w:ascii="Times New Roman" w:eastAsia="Calibri" w:hAnsi="Times New Roman" w:cs="Times New Roman"/>
          <w:b/>
          <w:sz w:val="24"/>
          <w:szCs w:val="24"/>
        </w:rPr>
        <w:t>Затратами на замещение объекта</w:t>
      </w:r>
      <w:r w:rsidRPr="003B603E">
        <w:rPr>
          <w:rFonts w:ascii="Times New Roman" w:eastAsia="Calibri" w:hAnsi="Times New Roman" w:cs="Times New Roman"/>
          <w:sz w:val="24"/>
          <w:szCs w:val="24"/>
        </w:rPr>
        <w:t xml:space="preserve"> оценки являются затраты, необходимые для создания аналогичного объекта с использованием материалов и технологий, применяющихся на дату оценки.</w:t>
      </w:r>
    </w:p>
    <w:p w14:paraId="06EDCB07" w14:textId="77777777" w:rsidR="003B603E" w:rsidRPr="003B603E" w:rsidRDefault="003B603E" w:rsidP="003B60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03E">
        <w:rPr>
          <w:rFonts w:ascii="Times New Roman" w:eastAsia="Calibri" w:hAnsi="Times New Roman" w:cs="Times New Roman"/>
          <w:sz w:val="24"/>
          <w:szCs w:val="24"/>
        </w:rPr>
        <w:t>Так же как</w:t>
      </w:r>
      <w:r w:rsidRPr="003B603E">
        <w:rPr>
          <w:rFonts w:ascii="Times New Roman" w:eastAsia="Calibri" w:hAnsi="Times New Roman" w:cs="Times New Roman"/>
          <w:b/>
          <w:sz w:val="24"/>
          <w:szCs w:val="24"/>
        </w:rPr>
        <w:t xml:space="preserve"> в проекте ФСО 1, </w:t>
      </w:r>
      <w:r w:rsidRPr="003B603E">
        <w:rPr>
          <w:rFonts w:ascii="Times New Roman" w:eastAsia="Calibri" w:hAnsi="Times New Roman" w:cs="Times New Roman"/>
          <w:sz w:val="24"/>
          <w:szCs w:val="24"/>
        </w:rPr>
        <w:t>так и в существующей редакции,</w:t>
      </w:r>
      <w:r w:rsidRPr="003B603E">
        <w:rPr>
          <w:rFonts w:ascii="Times New Roman" w:eastAsia="Calibri" w:hAnsi="Times New Roman" w:cs="Times New Roman"/>
          <w:b/>
          <w:sz w:val="24"/>
          <w:szCs w:val="24"/>
        </w:rPr>
        <w:t xml:space="preserve"> отсутствуют определения важных терминов и понятий, которые широко используются, как в федеральных стандартах оценки, </w:t>
      </w:r>
      <w:r w:rsidRPr="003B603E">
        <w:rPr>
          <w:rFonts w:ascii="Times New Roman" w:eastAsia="Calibri" w:hAnsi="Times New Roman" w:cs="Times New Roman"/>
          <w:sz w:val="24"/>
          <w:szCs w:val="24"/>
        </w:rPr>
        <w:t>так и методических рекомендациях и в оценочной практике.</w:t>
      </w:r>
    </w:p>
    <w:p w14:paraId="6B92756D" w14:textId="77777777" w:rsidR="003B603E" w:rsidRPr="003B603E" w:rsidRDefault="003B603E" w:rsidP="003B603E">
      <w:pPr>
        <w:spacing w:after="20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03E">
        <w:rPr>
          <w:rFonts w:ascii="Times New Roman" w:eastAsia="Calibri" w:hAnsi="Times New Roman" w:cs="Times New Roman"/>
          <w:b/>
          <w:sz w:val="24"/>
          <w:szCs w:val="24"/>
        </w:rPr>
        <w:t>Физическим износом</w:t>
      </w:r>
      <w:r w:rsidRPr="003B603E">
        <w:rPr>
          <w:rFonts w:ascii="Times New Roman" w:eastAsia="Calibri" w:hAnsi="Times New Roman" w:cs="Times New Roman"/>
          <w:sz w:val="24"/>
          <w:szCs w:val="24"/>
        </w:rPr>
        <w:t xml:space="preserve"> является потеря стоимости объекта, обусловленная ухудшением его физических свойств.</w:t>
      </w:r>
    </w:p>
    <w:p w14:paraId="6CAFC50A" w14:textId="77777777" w:rsidR="003B603E" w:rsidRPr="003B603E" w:rsidRDefault="003B603E" w:rsidP="003B603E">
      <w:pPr>
        <w:spacing w:after="20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03E">
        <w:rPr>
          <w:rFonts w:ascii="Times New Roman" w:eastAsia="Calibri" w:hAnsi="Times New Roman" w:cs="Times New Roman"/>
          <w:b/>
          <w:sz w:val="24"/>
          <w:szCs w:val="24"/>
        </w:rPr>
        <w:t>Функциональным устареванием</w:t>
      </w:r>
      <w:r w:rsidRPr="003B603E">
        <w:rPr>
          <w:rFonts w:ascii="Times New Roman" w:eastAsia="Calibri" w:hAnsi="Times New Roman" w:cs="Times New Roman"/>
          <w:sz w:val="24"/>
          <w:szCs w:val="24"/>
        </w:rPr>
        <w:t xml:space="preserve"> является потеря стоимости объекта, обусловленная несоответствием количественных и качественных характеристик, современным рыночным требованиям, предъявляемым к данному типу объектов.</w:t>
      </w:r>
    </w:p>
    <w:p w14:paraId="2E2706F2" w14:textId="77777777" w:rsidR="003B603E" w:rsidRPr="003B603E" w:rsidRDefault="003B603E" w:rsidP="003B603E">
      <w:pPr>
        <w:spacing w:after="20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03E">
        <w:rPr>
          <w:rFonts w:ascii="Times New Roman" w:eastAsia="Calibri" w:hAnsi="Times New Roman" w:cs="Times New Roman"/>
          <w:b/>
          <w:sz w:val="24"/>
          <w:szCs w:val="24"/>
        </w:rPr>
        <w:t>Экономическим устареванием</w:t>
      </w:r>
      <w:r w:rsidRPr="003B603E">
        <w:rPr>
          <w:rFonts w:ascii="Times New Roman" w:eastAsia="Calibri" w:hAnsi="Times New Roman" w:cs="Times New Roman"/>
          <w:sz w:val="24"/>
          <w:szCs w:val="24"/>
        </w:rPr>
        <w:t xml:space="preserve"> является потеря стоимости объекта, обусловленная отрицательным воздействием внешних по отношению к нему факторов.</w:t>
      </w:r>
    </w:p>
    <w:p w14:paraId="2A424490" w14:textId="77777777" w:rsidR="003B603E" w:rsidRPr="003B603E" w:rsidRDefault="003B603E" w:rsidP="003B603E">
      <w:pPr>
        <w:spacing w:after="20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03E">
        <w:rPr>
          <w:rFonts w:ascii="Times New Roman" w:eastAsia="Calibri" w:hAnsi="Times New Roman" w:cs="Times New Roman"/>
          <w:b/>
          <w:sz w:val="24"/>
          <w:szCs w:val="24"/>
        </w:rPr>
        <w:t>Денежный поток</w:t>
      </w:r>
      <w:r w:rsidRPr="003B603E">
        <w:rPr>
          <w:rFonts w:ascii="Times New Roman" w:eastAsia="Calibri" w:hAnsi="Times New Roman" w:cs="Times New Roman"/>
          <w:sz w:val="24"/>
          <w:szCs w:val="24"/>
        </w:rPr>
        <w:t xml:space="preserve"> - фактический или прогнозный периодический чистый доход, создаваемый поступлениями и затратами/расходами при эксплуатации и, в конечном счете, продажей или утилизацией имущества, приносящего доход.</w:t>
      </w:r>
    </w:p>
    <w:p w14:paraId="4B4D0933" w14:textId="77777777" w:rsidR="003B603E" w:rsidRPr="003B603E" w:rsidRDefault="003B603E" w:rsidP="003B603E">
      <w:pPr>
        <w:spacing w:after="20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03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Ставка дисконтирования</w:t>
      </w:r>
      <w:r w:rsidRPr="003B603E">
        <w:rPr>
          <w:rFonts w:ascii="Times New Roman" w:eastAsia="Calibri" w:hAnsi="Times New Roman" w:cs="Times New Roman"/>
          <w:sz w:val="24"/>
          <w:szCs w:val="24"/>
        </w:rPr>
        <w:t xml:space="preserve"> – норма доходности, отражающая доходность вложений в сопоставимые с объектом оценки по уровню риска объекты инвестирования, используемая для приведения будущих денежных потоков к стоимости на дату оценки</w:t>
      </w:r>
    </w:p>
    <w:p w14:paraId="6566CEE7" w14:textId="77777777" w:rsidR="003B603E" w:rsidRPr="003B603E" w:rsidRDefault="003B603E" w:rsidP="003B603E">
      <w:pPr>
        <w:spacing w:after="20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03E">
        <w:rPr>
          <w:rFonts w:ascii="Times New Roman" w:eastAsia="Calibri" w:hAnsi="Times New Roman" w:cs="Times New Roman"/>
          <w:b/>
          <w:sz w:val="24"/>
          <w:szCs w:val="24"/>
        </w:rPr>
        <w:t>Коэффициент капитализации</w:t>
      </w:r>
      <w:r w:rsidRPr="003B603E">
        <w:rPr>
          <w:rFonts w:ascii="Times New Roman" w:eastAsia="Calibri" w:hAnsi="Times New Roman" w:cs="Times New Roman"/>
          <w:sz w:val="24"/>
          <w:szCs w:val="24"/>
        </w:rPr>
        <w:t>, это делитель (обычно выраженный в процентах), который используется для преобразования чистого дохода за один год, в стоимость на дату оценки. Отражает уровень доходности вложений в сопоставимые с объектом оценки по уровню риска объекты инвестирования и прогнозируемое изменение чистого дохода.</w:t>
      </w:r>
    </w:p>
    <w:p w14:paraId="341C6AE8" w14:textId="77777777" w:rsidR="003B603E" w:rsidRPr="003B603E" w:rsidRDefault="003B603E" w:rsidP="003B603E">
      <w:pPr>
        <w:spacing w:after="20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03E">
        <w:rPr>
          <w:rFonts w:ascii="Times New Roman" w:eastAsia="Calibri" w:hAnsi="Times New Roman" w:cs="Times New Roman"/>
          <w:b/>
          <w:sz w:val="24"/>
          <w:szCs w:val="24"/>
        </w:rPr>
        <w:t xml:space="preserve">Уровень существенности при оценке стоимости. </w:t>
      </w:r>
      <w:r w:rsidRPr="003B603E">
        <w:rPr>
          <w:rFonts w:ascii="Times New Roman" w:eastAsia="Calibri" w:hAnsi="Times New Roman" w:cs="Times New Roman"/>
          <w:sz w:val="24"/>
          <w:szCs w:val="24"/>
        </w:rPr>
        <w:t>Информация; значение; экспертное суждение - используемые при определении стоимости объекта оценки и/или их совокупность, являются существенными, если влияют (могут повлиять) на итоговое значение стоимости в сторону повышения или в сторону понижения, более чем установленный, для данного объекта оценки значение. Значение размера существенности, для каждого типа объекта оценки устанавливается 1 раз в год (вариант 1 раз в 3 года), национальным объединением саморегулируемых организаций оценщиков.</w:t>
      </w:r>
    </w:p>
    <w:p w14:paraId="413E0AD7" w14:textId="77777777" w:rsidR="003B603E" w:rsidRPr="003B603E" w:rsidRDefault="003B603E" w:rsidP="003B603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603E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Предложение - добавить в раздел </w:t>
      </w:r>
      <w:r w:rsidRPr="003B603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3B603E">
        <w:rPr>
          <w:rFonts w:ascii="Times New Roman" w:eastAsia="Calibri" w:hAnsi="Times New Roman" w:cs="Times New Roman"/>
          <w:b/>
          <w:sz w:val="24"/>
          <w:szCs w:val="24"/>
        </w:rPr>
        <w:t xml:space="preserve"> ФСО 1 определения терминов и понятий указанных выше.</w:t>
      </w:r>
    </w:p>
    <w:p w14:paraId="0432BBAB" w14:textId="77777777" w:rsidR="003B603E" w:rsidRPr="003B603E" w:rsidRDefault="003B603E" w:rsidP="003B603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4221"/>
        <w:gridCol w:w="4658"/>
        <w:gridCol w:w="4763"/>
      </w:tblGrid>
      <w:tr w:rsidR="003B603E" w:rsidRPr="003B603E" w14:paraId="5E132F68" w14:textId="77777777" w:rsidTr="001711F3">
        <w:trPr>
          <w:tblHeader/>
        </w:trPr>
        <w:tc>
          <w:tcPr>
            <w:tcW w:w="918" w:type="dxa"/>
            <w:shd w:val="clear" w:color="auto" w:fill="F2F2F2"/>
          </w:tcPr>
          <w:p w14:paraId="29562F44" w14:textId="77777777" w:rsidR="003B603E" w:rsidRPr="003B603E" w:rsidRDefault="003B603E" w:rsidP="003B6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Пункт</w:t>
            </w:r>
          </w:p>
        </w:tc>
        <w:tc>
          <w:tcPr>
            <w:tcW w:w="4238" w:type="dxa"/>
            <w:shd w:val="clear" w:color="auto" w:fill="F2F2F2"/>
          </w:tcPr>
          <w:p w14:paraId="6A601A9E" w14:textId="77777777" w:rsidR="003B603E" w:rsidRPr="003B603E" w:rsidRDefault="003B603E" w:rsidP="003B6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Текущая редакция</w:t>
            </w:r>
          </w:p>
        </w:tc>
        <w:tc>
          <w:tcPr>
            <w:tcW w:w="4678" w:type="dxa"/>
            <w:shd w:val="clear" w:color="auto" w:fill="F2F2F2"/>
          </w:tcPr>
          <w:p w14:paraId="03EA1437" w14:textId="77777777" w:rsidR="003B603E" w:rsidRPr="003B603E" w:rsidRDefault="003B603E" w:rsidP="003B6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  <w:tc>
          <w:tcPr>
            <w:tcW w:w="4784" w:type="dxa"/>
            <w:shd w:val="clear" w:color="auto" w:fill="F2F2F2"/>
          </w:tcPr>
          <w:p w14:paraId="46163C46" w14:textId="77777777" w:rsidR="003B603E" w:rsidRPr="003B603E" w:rsidRDefault="003B603E" w:rsidP="003B6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Обоснование</w:t>
            </w:r>
          </w:p>
        </w:tc>
      </w:tr>
      <w:tr w:rsidR="003B603E" w:rsidRPr="003B603E" w14:paraId="2F6D9422" w14:textId="77777777" w:rsidTr="001711F3">
        <w:trPr>
          <w:trHeight w:val="2607"/>
        </w:trPr>
        <w:tc>
          <w:tcPr>
            <w:tcW w:w="918" w:type="dxa"/>
            <w:shd w:val="clear" w:color="auto" w:fill="E2EFD9"/>
          </w:tcPr>
          <w:p w14:paraId="210E8ACA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8" w:type="dxa"/>
            <w:shd w:val="clear" w:color="auto" w:fill="E2EFD9"/>
          </w:tcPr>
          <w:p w14:paraId="45EF3156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абз. 2.</w:t>
            </w:r>
          </w:p>
          <w:p w14:paraId="044494CD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Информация, о </w:t>
            </w:r>
            <w:r w:rsidRPr="003B603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событиях</w:t>
            </w:r>
            <w:r w:rsidRPr="003B603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произошедших после даты оценки, может быть использована для определения стоимости объекта оценки только для подтверждения </w:t>
            </w:r>
            <w:r w:rsidRPr="003B603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тенденций</w:t>
            </w:r>
            <w:r w:rsidRPr="003B603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, сложившихся на дату оценки, в том случае, когда такая информация соответствует сложившимся ожиданиям рынка на дату оценки.</w:t>
            </w:r>
          </w:p>
        </w:tc>
        <w:tc>
          <w:tcPr>
            <w:tcW w:w="4678" w:type="dxa"/>
            <w:shd w:val="clear" w:color="auto" w:fill="E2EFD9"/>
          </w:tcPr>
          <w:p w14:paraId="560D26CE" w14:textId="77777777" w:rsidR="003B603E" w:rsidRPr="003B603E" w:rsidRDefault="003B603E" w:rsidP="003B603E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Из п 8 данный абзац исключить.</w:t>
            </w:r>
          </w:p>
          <w:p w14:paraId="51969EBA" w14:textId="77777777" w:rsidR="003B603E" w:rsidRPr="003B603E" w:rsidRDefault="003B603E" w:rsidP="003B603E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Добавить в раздел V. Требования к проведению оценки, пункт следующего содержания:</w:t>
            </w:r>
          </w:p>
          <w:p w14:paraId="1A542302" w14:textId="77777777" w:rsidR="003B603E" w:rsidRPr="003B603E" w:rsidRDefault="003B603E" w:rsidP="003B603E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Оценщик при проведении оценки не может использовать информацию о событиях, произошедших после даты оценки. Под событием после даты оценки понимается: предложение и сделки с объектами аналогами произошедшие после даты оценки, а так же официальные прогнозы и иные аналитические исследования</w:t>
            </w:r>
            <w:r w:rsidRPr="003B603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  <w:t xml:space="preserve"> 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 xml:space="preserve">подготовленные после даты оценки, отражающие прогнозные  макроэкономические и отраслевые 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lastRenderedPageBreak/>
              <w:t>показатели и/или фактические данные произошедшие после даты оценки.</w:t>
            </w:r>
          </w:p>
          <w:p w14:paraId="28CFCA9C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E2EFD9"/>
          </w:tcPr>
          <w:p w14:paraId="469C9611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данном проекте ФСО 1 нет определения понятиям: «события», «тенденции», «ожидания рынка» и где в принципе можно получить информацию о тенденциях и ожиданиях на дату оценки.</w:t>
            </w:r>
          </w:p>
          <w:p w14:paraId="0035EA63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Неоднозначная трактовка данного пункта может негативно повлиять на рынок. Использование сделок и предложений, макро и отраслевых данных, после даты оценки не допустимо. Это может привести к возможности бесконечного оспаривания оценок в связи с появлением на рынке новых предложений и сделок с аналогами, новых прогнозов и исследований, основанных на измененной внешней макроэкономической ситуации, которые 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 пересчете на дату в прошлом могут давать иной результат ретроспективной оценки. Наше предложение сможет исключить данную практику.</w:t>
            </w:r>
          </w:p>
        </w:tc>
      </w:tr>
      <w:tr w:rsidR="003B603E" w:rsidRPr="003B603E" w14:paraId="778D80B1" w14:textId="77777777" w:rsidTr="001711F3">
        <w:tc>
          <w:tcPr>
            <w:tcW w:w="918" w:type="dxa"/>
            <w:shd w:val="clear" w:color="auto" w:fill="auto"/>
          </w:tcPr>
          <w:p w14:paraId="19D8B0BA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38" w:type="dxa"/>
            <w:shd w:val="clear" w:color="auto" w:fill="auto"/>
          </w:tcPr>
          <w:p w14:paraId="29007F4D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Сравнительный подход – совокупность методов оценки, основанных на получении стоимости объекта оценки путем сравнения оцениваемого объекта с объектами-аналогами, в отношении которых доступна информация о ценах, </w:t>
            </w:r>
            <w:r w:rsidRPr="003B603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а также</w:t>
            </w:r>
            <w:r w:rsidRPr="003B603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о совершенных сделках с объектом оценки.</w:t>
            </w:r>
          </w:p>
        </w:tc>
        <w:tc>
          <w:tcPr>
            <w:tcW w:w="4678" w:type="dxa"/>
            <w:shd w:val="clear" w:color="auto" w:fill="auto"/>
          </w:tcPr>
          <w:p w14:paraId="13207B80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Сравнительный подход – совокупность методов оценки, основанных на получении стоимости объекта оценки путем сравнения оцениваемого объекта с объектами-аналогами, в отношении которых доступна информация о ценах, 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и (или)</w:t>
            </w:r>
            <w:r w:rsidRPr="003B603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о совершенных сделках с объектом оценки.</w:t>
            </w:r>
          </w:p>
        </w:tc>
        <w:tc>
          <w:tcPr>
            <w:tcW w:w="4784" w:type="dxa"/>
            <w:shd w:val="clear" w:color="auto" w:fill="auto"/>
          </w:tcPr>
          <w:p w14:paraId="602E9EC3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 также» трактуется юристами как «и», если оставить а также, то подход можно будет применять только, когда будут данные </w:t>
            </w:r>
            <w:r w:rsidRPr="003B603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сделках с самим объектов оценки</w:t>
            </w:r>
          </w:p>
        </w:tc>
      </w:tr>
      <w:tr w:rsidR="003B603E" w:rsidRPr="003B603E" w14:paraId="1D645923" w14:textId="77777777" w:rsidTr="001711F3">
        <w:tc>
          <w:tcPr>
            <w:tcW w:w="918" w:type="dxa"/>
            <w:shd w:val="clear" w:color="auto" w:fill="auto"/>
          </w:tcPr>
          <w:p w14:paraId="0A8F0F0C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38" w:type="dxa"/>
            <w:shd w:val="clear" w:color="auto" w:fill="auto"/>
          </w:tcPr>
          <w:p w14:paraId="2D4105DE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Сравнительный подход рекомендуется применять, когда </w:t>
            </w:r>
            <w:r w:rsidRPr="003B603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существует достоверная и доступная 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анализа информация о ценах и характеристиках объектов-аналогов. </w:t>
            </w:r>
          </w:p>
        </w:tc>
        <w:tc>
          <w:tcPr>
            <w:tcW w:w="4678" w:type="dxa"/>
            <w:shd w:val="clear" w:color="auto" w:fill="auto"/>
          </w:tcPr>
          <w:p w14:paraId="328AEC91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Сравнительный подход рекомендуется применять, когда 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доступна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достоверная и достаточная для анализа информация о ценах и характеристиках объектов-аналогов 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(или) информации о совершенных сделках с объектом оценки.</w:t>
            </w:r>
          </w:p>
        </w:tc>
        <w:tc>
          <w:tcPr>
            <w:tcW w:w="4784" w:type="dxa"/>
            <w:shd w:val="clear" w:color="auto" w:fill="auto"/>
          </w:tcPr>
          <w:p w14:paraId="16A24521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может «существовать» но не быть 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«доступной».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примеру, продали несколько пакетов акций, но информация о ценах сделок не разглашается. То есть в принципе информация существует, но в свободном доступе отсутствует, выполнение сравнительного подхода не возможно. </w:t>
            </w:r>
          </w:p>
          <w:p w14:paraId="6A42BD48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Добавлено 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«и(или) информации о совершенных сделках с объектом оценки»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бы соответствовать условиям заложенным п. 12. Без данного добавления применения сравнительного подхода выполненного только на основе ретроспективных сделок с объектом оценки 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(к примеру, миноритарные пакеты акций постоянно котирующиеся на бирже организаций) может быть признано не рекомендованным.</w:t>
            </w:r>
          </w:p>
        </w:tc>
      </w:tr>
      <w:tr w:rsidR="003B603E" w:rsidRPr="003B603E" w14:paraId="0D589CDF" w14:textId="77777777" w:rsidTr="001711F3">
        <w:trPr>
          <w:trHeight w:val="2411"/>
        </w:trPr>
        <w:tc>
          <w:tcPr>
            <w:tcW w:w="918" w:type="dxa"/>
            <w:shd w:val="clear" w:color="auto" w:fill="auto"/>
          </w:tcPr>
          <w:p w14:paraId="2DBC4F5C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38" w:type="dxa"/>
            <w:shd w:val="clear" w:color="auto" w:fill="auto"/>
          </w:tcPr>
          <w:p w14:paraId="2C3D4661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Доходный подход - совокупность методов оценки, основанных на определении ожидаемых </w:t>
            </w:r>
            <w:r w:rsidRPr="003B60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доходов</w:t>
            </w:r>
            <w:r w:rsidRPr="003B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использования объекта оценки.</w:t>
            </w:r>
          </w:p>
        </w:tc>
        <w:tc>
          <w:tcPr>
            <w:tcW w:w="4678" w:type="dxa"/>
            <w:shd w:val="clear" w:color="auto" w:fill="auto"/>
          </w:tcPr>
          <w:p w14:paraId="45C1B56E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Доходный подход - совокупность методов оценки, основанных на определении ожидаемых доходов 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и расходов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использования объекта оценки</w:t>
            </w:r>
            <w:r w:rsidRPr="003B603E">
              <w:rPr>
                <w:rFonts w:ascii="Calibri" w:eastAsia="Calibri" w:hAnsi="Calibri" w:cs="Times New Roman"/>
              </w:rPr>
              <w:t xml:space="preserve"> 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и моменты их получения.</w:t>
            </w:r>
          </w:p>
        </w:tc>
        <w:tc>
          <w:tcPr>
            <w:tcW w:w="4784" w:type="dxa"/>
            <w:shd w:val="clear" w:color="auto" w:fill="auto"/>
          </w:tcPr>
          <w:p w14:paraId="335A0DA9" w14:textId="77777777" w:rsidR="003B603E" w:rsidRPr="003B603E" w:rsidRDefault="003B603E" w:rsidP="003B603E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реализации доходного подхода необходимо определить не только доходы от объекта оценки но </w:t>
            </w:r>
            <w:r w:rsidRPr="003B6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расходы,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6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так же очень важно определить моменты получения доходов и расходов. </w:t>
            </w:r>
          </w:p>
          <w:p w14:paraId="20CAD7ED" w14:textId="77777777" w:rsidR="003B603E" w:rsidRPr="003B603E" w:rsidRDefault="003B603E" w:rsidP="003B603E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Учитывая, что 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понятие доходы однозначно в нормативных документах не прописано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, возможны разночтения в применении данного понятия от выручки до чистой прибыли. Так же очень важное добавление «моменты получения доходов и расходов» Денежные потоки (доходов и расходов) могут быть не равномерными и не периодическими, что бы правильно произвести дисконтирование или определить коэффициент капитализации необходимо спрогнозировать все параметры (доходы расходы и моменты их получения). Даже при применении прямой капитализации, с использованием рыночной экстракции необходимо при выборе аналогов учитывать их сопоставимость по динамике периодичности и сроку получения чистого операционного дохода.</w:t>
            </w:r>
          </w:p>
          <w:p w14:paraId="20CA562C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03E" w:rsidRPr="003B603E" w14:paraId="617A7C83" w14:textId="77777777" w:rsidTr="001711F3">
        <w:trPr>
          <w:trHeight w:val="2411"/>
        </w:trPr>
        <w:tc>
          <w:tcPr>
            <w:tcW w:w="918" w:type="dxa"/>
            <w:shd w:val="clear" w:color="auto" w:fill="auto"/>
          </w:tcPr>
          <w:p w14:paraId="1B86C40C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38" w:type="dxa"/>
            <w:shd w:val="clear" w:color="auto" w:fill="auto"/>
          </w:tcPr>
          <w:p w14:paraId="1C1BBA35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Доходный подход рекомендуется применять, когда </w:t>
            </w:r>
            <w:r w:rsidRPr="003B603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существует достоверная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603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информация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, позволяющая прогнозировать будущие доходы, которые объект оценки способен приносить, а также связанные с объектом оценки расходы.</w:t>
            </w:r>
          </w:p>
        </w:tc>
        <w:tc>
          <w:tcPr>
            <w:tcW w:w="4678" w:type="dxa"/>
            <w:shd w:val="clear" w:color="auto" w:fill="auto"/>
          </w:tcPr>
          <w:p w14:paraId="6EC33F6B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Доходный подход рекомендуется применять, когда 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доступна обоснованная и достаточная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информация, позволяющая прогнозировать будущие доходы, которые объект оценки способен приносить, а также связанные с объектом оценки расходы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 xml:space="preserve"> и моменты их получения.</w:t>
            </w:r>
          </w:p>
        </w:tc>
        <w:tc>
          <w:tcPr>
            <w:tcW w:w="4784" w:type="dxa"/>
            <w:shd w:val="clear" w:color="auto" w:fill="auto"/>
          </w:tcPr>
          <w:p w14:paraId="5364E69A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Первое. 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Необходимым заменить словосочетание 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«существует достоверная информация»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«доступна обоснованная информация»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Согласно действующего на текущий момент ФСО 1, информация считается достоверной, если данная информация соответствует действительности. </w:t>
            </w:r>
            <w:r w:rsidRPr="003B6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Невозможно осуществить прогнозирование только на основе действительной, то есть фактической информации. 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Любой прогноз носит вероятностный характер, включая и субъективные прогнозы профессиональных участниках рынка, о каких либо изменениях на будущее. </w:t>
            </w:r>
            <w:r w:rsidRPr="003B6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Если оставить в существующем виде, то доходный подход в принципе нельзя будет применять по причине отсутствия достоверной информации о будущем изменение доходов, расходов, и прочих факторов. 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И такое в отчетах об оценке встречалось достаточно часто, когда Оценщик хочет сократить издержки и/или «не выгодно» отражать результат доходного подхода.</w:t>
            </w:r>
          </w:p>
          <w:p w14:paraId="60EF902A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Второе.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Добавлена фраза «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и моменты их получения»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обоснование приведено к п.15 см выше.</w:t>
            </w:r>
          </w:p>
        </w:tc>
      </w:tr>
      <w:tr w:rsidR="003B603E" w:rsidRPr="003B603E" w14:paraId="37AE5ED8" w14:textId="77777777" w:rsidTr="001711F3">
        <w:tc>
          <w:tcPr>
            <w:tcW w:w="918" w:type="dxa"/>
            <w:shd w:val="clear" w:color="auto" w:fill="auto"/>
          </w:tcPr>
          <w:p w14:paraId="3307A4F4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38" w:type="dxa"/>
            <w:shd w:val="clear" w:color="auto" w:fill="auto"/>
          </w:tcPr>
          <w:p w14:paraId="474FE5AE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Затратный подход </w:t>
            </w:r>
            <w:r w:rsidRPr="003B603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преимущественно применяется в тех случаях, когда существует достоверная информация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позволяющая определить затраты </w:t>
            </w:r>
          </w:p>
          <w:p w14:paraId="5F2B1129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приобретение, воспроизводство либо замещение объекта оценки.</w:t>
            </w:r>
          </w:p>
        </w:tc>
        <w:tc>
          <w:tcPr>
            <w:tcW w:w="4678" w:type="dxa"/>
            <w:shd w:val="clear" w:color="auto" w:fill="auto"/>
          </w:tcPr>
          <w:p w14:paraId="123E40A4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Затратный 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подход рекомендуется применять, когда доступна достоверная и достаточная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информация, позволяющая определить затраты на приобретение, 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воспроизводство либо замещение объекта оценки.</w:t>
            </w:r>
          </w:p>
        </w:tc>
        <w:tc>
          <w:tcPr>
            <w:tcW w:w="4784" w:type="dxa"/>
            <w:shd w:val="clear" w:color="auto" w:fill="auto"/>
          </w:tcPr>
          <w:p w14:paraId="794298E2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Системная трактовка ФСО, единый формат в описании подходов оценки</w:t>
            </w:r>
          </w:p>
          <w:p w14:paraId="0AF016FB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03E" w:rsidRPr="003B603E" w14:paraId="61A55740" w14:textId="77777777" w:rsidTr="001711F3">
        <w:tc>
          <w:tcPr>
            <w:tcW w:w="918" w:type="dxa"/>
            <w:shd w:val="clear" w:color="auto" w:fill="auto"/>
          </w:tcPr>
          <w:p w14:paraId="37795F22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38" w:type="dxa"/>
            <w:shd w:val="clear" w:color="auto" w:fill="auto"/>
          </w:tcPr>
          <w:p w14:paraId="46436CF3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признания объекта точной копией объекта оценки или объектом, имеющим сопоставимые полезные свойства, определяются федеральными стандартами оценки, устанавливающими требования к проведению оценки отдельных видов объектов оценки и (или) для специальных целей.</w:t>
            </w:r>
          </w:p>
        </w:tc>
        <w:tc>
          <w:tcPr>
            <w:tcW w:w="4678" w:type="dxa"/>
            <w:shd w:val="clear" w:color="auto" w:fill="auto"/>
          </w:tcPr>
          <w:p w14:paraId="23B778B3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Исключить</w:t>
            </w:r>
          </w:p>
        </w:tc>
        <w:tc>
          <w:tcPr>
            <w:tcW w:w="4784" w:type="dxa"/>
            <w:shd w:val="clear" w:color="auto" w:fill="auto"/>
          </w:tcPr>
          <w:p w14:paraId="509E3D5F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Не нужно прописывать, что может появиться в профильных стандартах, это избыточное уточнение. Не нужно акцентировать внимания на непонятных «критериях признания». Суды уже начали писать некорректные замечания на критерии сходимости аналогов.</w:t>
            </w:r>
          </w:p>
        </w:tc>
      </w:tr>
      <w:tr w:rsidR="003B603E" w:rsidRPr="003B603E" w14:paraId="1318BCE8" w14:textId="77777777" w:rsidTr="001711F3">
        <w:tc>
          <w:tcPr>
            <w:tcW w:w="918" w:type="dxa"/>
            <w:shd w:val="clear" w:color="auto" w:fill="E2EFD9"/>
          </w:tcPr>
          <w:p w14:paraId="1F11281D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38" w:type="dxa"/>
            <w:shd w:val="clear" w:color="auto" w:fill="E2EFD9"/>
          </w:tcPr>
          <w:p w14:paraId="703CAFA8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Оценщик вправе самостоятельно определять необходимость применения тех или иных подходов к оценке и конкретных методов оценки в рамках применения каждого из подходов.</w:t>
            </w:r>
          </w:p>
        </w:tc>
        <w:tc>
          <w:tcPr>
            <w:tcW w:w="4678" w:type="dxa"/>
            <w:shd w:val="clear" w:color="auto" w:fill="E2EFD9"/>
          </w:tcPr>
          <w:p w14:paraId="632BB90A" w14:textId="77777777" w:rsidR="003B603E" w:rsidRPr="003B603E" w:rsidRDefault="003B603E" w:rsidP="003B6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22. Оценщик при проведении оценки обязан использовать затратный, сравнительный и доходный подходы к оценке или обосновать отказ от использования того или иного подхода.</w:t>
            </w:r>
          </w:p>
          <w:p w14:paraId="1F669BF6" w14:textId="77777777" w:rsidR="003B603E" w:rsidRPr="003B603E" w:rsidRDefault="003B603E" w:rsidP="003B6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Оценщик вправе самостоятельно определять конкретные методы оценки в рамках применения каждого из подходов.</w:t>
            </w:r>
          </w:p>
        </w:tc>
        <w:tc>
          <w:tcPr>
            <w:tcW w:w="4784" w:type="dxa"/>
            <w:shd w:val="clear" w:color="auto" w:fill="E2EFD9"/>
          </w:tcPr>
          <w:p w14:paraId="3E79F25A" w14:textId="77777777" w:rsidR="003B603E" w:rsidRPr="003B603E" w:rsidRDefault="003B603E" w:rsidP="003B6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предлагаемой редакции исключена 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обязанность Оценщика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использования трех подход к оценки, 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или обоснование отказа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использования того или иного подхода. </w:t>
            </w:r>
          </w:p>
          <w:p w14:paraId="67533332" w14:textId="77777777" w:rsidR="003B603E" w:rsidRPr="003B603E" w:rsidRDefault="003B603E" w:rsidP="003B6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При внедрении данной трактовки, в оценочной практике обоснованным станет считаться, только один подход и один метод, «необходимый» оценщику, для минимизации затрат на работу и/или выполнения «особых пожеланий» заказчика.</w:t>
            </w:r>
          </w:p>
          <w:p w14:paraId="7DDFF075" w14:textId="77777777" w:rsidR="003B603E" w:rsidRPr="003B603E" w:rsidRDefault="003B603E" w:rsidP="003B6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Предлагаем оставить данный пункт в действующей редакции стандарта (п. 20 ФСО 1).</w:t>
            </w:r>
          </w:p>
        </w:tc>
      </w:tr>
      <w:tr w:rsidR="003B603E" w:rsidRPr="003B603E" w14:paraId="0FE95AB4" w14:textId="77777777" w:rsidTr="001711F3">
        <w:tc>
          <w:tcPr>
            <w:tcW w:w="918" w:type="dxa"/>
            <w:shd w:val="clear" w:color="auto" w:fill="auto"/>
          </w:tcPr>
          <w:p w14:paraId="3713C242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38" w:type="dxa"/>
            <w:shd w:val="clear" w:color="auto" w:fill="auto"/>
          </w:tcPr>
          <w:p w14:paraId="0C103DBD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…Существенным признается такое отличие, при котором результат, полученный при применении одного подхода (метода), находится вне границ определенного и обоснованного оценщиком диапазона стоимости, полученного при </w:t>
            </w:r>
            <w:r w:rsidRPr="003B603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применении другого подхода (методов).</w:t>
            </w:r>
          </w:p>
        </w:tc>
        <w:tc>
          <w:tcPr>
            <w:tcW w:w="4678" w:type="dxa"/>
            <w:shd w:val="clear" w:color="auto" w:fill="auto"/>
          </w:tcPr>
          <w:p w14:paraId="661D3461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Исключить данный текст</w:t>
            </w:r>
          </w:p>
        </w:tc>
        <w:tc>
          <w:tcPr>
            <w:tcW w:w="4784" w:type="dxa"/>
            <w:shd w:val="clear" w:color="auto" w:fill="auto"/>
          </w:tcPr>
          <w:p w14:paraId="096F5A56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Предполагается, что границ </w:t>
            </w:r>
            <w:r w:rsidRPr="003B6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 всех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отчетах об оценке для каждого подхода оценки оценщик должен </w:t>
            </w:r>
            <w:r w:rsidRPr="003B603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определить и обосновать</w:t>
            </w:r>
            <w:r w:rsidRPr="003B603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(!!!) диапазон стоимости, чтобы потом доказать существенность или несущественность промежуточных результатов подходов. </w:t>
            </w:r>
            <w:r w:rsidRPr="003B6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 настоящего времени нет единой методологии, и </w:t>
            </w:r>
            <w:r w:rsidRPr="003B6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никто не в состоянии однозначно пояснить, как определять границы диапазоны стоимости в рамках подходов. В итоге это всегда будет не выполнимое условия</w:t>
            </w:r>
          </w:p>
        </w:tc>
      </w:tr>
      <w:tr w:rsidR="003B603E" w:rsidRPr="003B603E" w14:paraId="24723283" w14:textId="77777777" w:rsidTr="001711F3">
        <w:trPr>
          <w:trHeight w:val="3421"/>
        </w:trPr>
        <w:tc>
          <w:tcPr>
            <w:tcW w:w="918" w:type="dxa"/>
            <w:shd w:val="clear" w:color="auto" w:fill="auto"/>
          </w:tcPr>
          <w:p w14:paraId="06496D7B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238" w:type="dxa"/>
            <w:shd w:val="clear" w:color="auto" w:fill="auto"/>
          </w:tcPr>
          <w:p w14:paraId="49F9C31A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 процессе согласования промежуточных результатов оценки, полученных с применением разных подходов, следует проанализировать достоинства и недостатки этих подходов, объяснить расхождение промежуточных результатов и на основе проведенного анализа определить итоговый результат оценки объекта оценки.</w:t>
            </w:r>
          </w:p>
        </w:tc>
        <w:tc>
          <w:tcPr>
            <w:tcW w:w="4678" w:type="dxa"/>
            <w:shd w:val="clear" w:color="auto" w:fill="auto"/>
          </w:tcPr>
          <w:p w14:paraId="0DBE97DC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Исключить данный текст</w:t>
            </w:r>
          </w:p>
          <w:p w14:paraId="63D49D79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Оставить текст существующего стандарта</w:t>
            </w:r>
          </w:p>
          <w:p w14:paraId="6EAA20E4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«Выбранный оценщиком способ согласования, а также все сделанные оценщиком при осуществлении согласования результатов суждения, допущения и использованная информация должны быть обоснованы. В случае применения для согласования процедуры взвешивания оценщик должен обосновать выбор использованных весов»</w:t>
            </w:r>
          </w:p>
        </w:tc>
        <w:tc>
          <w:tcPr>
            <w:tcW w:w="4784" w:type="dxa"/>
            <w:shd w:val="clear" w:color="auto" w:fill="auto"/>
          </w:tcPr>
          <w:p w14:paraId="0FBCC74A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нужно объяснять расхождение в 1%, расхождения всегда будут, имеет смысл объяснять только существенные. Так же необходимо исключить дублирование информации - выше в п. 25 данного проекта ФСО 1 </w:t>
            </w:r>
          </w:p>
          <w:p w14:paraId="58360A1E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«При согласовании существенно отличающихся промежуточных результатов оценки, полученных различными подходами  или методами, в отчете необходимо отразить проведенный анализ </w:t>
            </w:r>
          </w:p>
          <w:p w14:paraId="2C2F0F7E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и установленную причину расхождений.»</w:t>
            </w:r>
          </w:p>
        </w:tc>
      </w:tr>
      <w:tr w:rsidR="003B603E" w:rsidRPr="003B603E" w14:paraId="5BA23AA6" w14:textId="77777777" w:rsidTr="001711F3">
        <w:tc>
          <w:tcPr>
            <w:tcW w:w="918" w:type="dxa"/>
            <w:shd w:val="clear" w:color="auto" w:fill="auto"/>
          </w:tcPr>
          <w:p w14:paraId="4C0887FB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38" w:type="dxa"/>
            <w:shd w:val="clear" w:color="auto" w:fill="auto"/>
          </w:tcPr>
          <w:p w14:paraId="7E559174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При недостаточности рыночных данных, необходимых для реализации какого-либо из подходов к оценке  в соответствии с требованиями настоящего Федерального стандарта оценки и Федерального стандарта оценки «Общие понятия, подходы и требования к проведению оценки (ФСО № 1)», Федерального стандарта оценки «Цель оценки и виды стоимости (ФСО № 2)», в рамках выбранного подхода на основе имеющихся данных рекомендуется указать ориентировочные значения (значение) оцениваемой величины, которые не учитываются при </w:t>
            </w:r>
            <w:r w:rsidRPr="003B603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итоговом согласовании, но могут быть использованы в качестве поверочных к итоговому результату оценки объекта оценки.</w:t>
            </w:r>
          </w:p>
        </w:tc>
        <w:tc>
          <w:tcPr>
            <w:tcW w:w="4678" w:type="dxa"/>
            <w:shd w:val="clear" w:color="auto" w:fill="auto"/>
          </w:tcPr>
          <w:p w14:paraId="33BA1736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Исключить</w:t>
            </w:r>
          </w:p>
          <w:p w14:paraId="05194711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14:paraId="35C7FF7D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Рекомендации данной части ст. 25 ФСО 1, противоречат логике. 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Если недостаточно рыночных данных, необходимых для реализации какого-либо из подходов к оценке, то результат  полученный на основании недостаточных данных не может быть более обоснованным по сравнению с результатами подходов, где рыночных данных было достаточно. Что можно будет проверить таким «необъективным» результатом совершенно не понятно.</w:t>
            </w:r>
          </w:p>
          <w:p w14:paraId="54A12D9C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применения ФСО7 показала, что данный пункт массово трактуется как необходимость применения подходов об оценке на основе недостаточной и 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недостоверной информации с последующим отказом от результатов.</w:t>
            </w:r>
          </w:p>
          <w:p w14:paraId="465F9349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частности в Комиссии по оспариванию Московской и ряда других областей требуют применение доходного подхода с последующим отказом от его результатов, так как они недостоверны. Недопустимо масштабировать сложившуюся порочную практику и внести необходимые изменения в ФСО7. </w:t>
            </w:r>
          </w:p>
        </w:tc>
      </w:tr>
    </w:tbl>
    <w:p w14:paraId="79B0D80E" w14:textId="77777777" w:rsidR="003B603E" w:rsidRPr="003B603E" w:rsidRDefault="003B603E" w:rsidP="003B603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603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ФСО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3798"/>
        <w:gridCol w:w="5499"/>
        <w:gridCol w:w="4344"/>
      </w:tblGrid>
      <w:tr w:rsidR="003B603E" w:rsidRPr="003B603E" w14:paraId="7CE9FD95" w14:textId="77777777" w:rsidTr="001711F3">
        <w:trPr>
          <w:tblHeader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F2F2F2"/>
          </w:tcPr>
          <w:p w14:paraId="105D848E" w14:textId="77777777" w:rsidR="003B603E" w:rsidRPr="003B603E" w:rsidRDefault="003B603E" w:rsidP="003B6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Пункт</w:t>
            </w:r>
          </w:p>
        </w:tc>
        <w:tc>
          <w:tcPr>
            <w:tcW w:w="3813" w:type="dxa"/>
            <w:tcBorders>
              <w:bottom w:val="single" w:sz="4" w:space="0" w:color="auto"/>
            </w:tcBorders>
            <w:shd w:val="clear" w:color="auto" w:fill="F2F2F2"/>
          </w:tcPr>
          <w:p w14:paraId="6EB2EB9D" w14:textId="77777777" w:rsidR="003B603E" w:rsidRPr="003B603E" w:rsidRDefault="003B603E" w:rsidP="003B6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Текущая редакция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2F2F2"/>
          </w:tcPr>
          <w:p w14:paraId="6105D06E" w14:textId="77777777" w:rsidR="003B603E" w:rsidRPr="003B603E" w:rsidRDefault="003B603E" w:rsidP="003B6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F2F2F2"/>
          </w:tcPr>
          <w:p w14:paraId="371A0977" w14:textId="77777777" w:rsidR="003B603E" w:rsidRPr="003B603E" w:rsidRDefault="003B603E" w:rsidP="003B6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Обоснование</w:t>
            </w:r>
          </w:p>
        </w:tc>
      </w:tr>
      <w:tr w:rsidR="003B603E" w:rsidRPr="003B603E" w14:paraId="3040A8FD" w14:textId="77777777" w:rsidTr="001711F3">
        <w:tc>
          <w:tcPr>
            <w:tcW w:w="918" w:type="dxa"/>
            <w:shd w:val="clear" w:color="auto" w:fill="auto"/>
          </w:tcPr>
          <w:p w14:paraId="37B237CA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3" w:type="dxa"/>
            <w:shd w:val="clear" w:color="auto" w:fill="auto"/>
          </w:tcPr>
          <w:p w14:paraId="4B130132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Целью оценки является </w:t>
            </w:r>
            <w:r w:rsidRPr="003B603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определение стоимости объекта оценки, вид которой определяется в задании на оценку с учетом 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предполагаемого использования результата оценки.</w:t>
            </w:r>
          </w:p>
        </w:tc>
        <w:tc>
          <w:tcPr>
            <w:tcW w:w="5528" w:type="dxa"/>
            <w:shd w:val="clear" w:color="auto" w:fill="E2EFD9"/>
          </w:tcPr>
          <w:p w14:paraId="3321B993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Целью оценки является предполагаемое использование результата оценки.</w:t>
            </w:r>
          </w:p>
        </w:tc>
        <w:tc>
          <w:tcPr>
            <w:tcW w:w="4359" w:type="dxa"/>
            <w:shd w:val="clear" w:color="auto" w:fill="E2EFD9"/>
          </w:tcPr>
          <w:p w14:paraId="2FD91126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Цель оценки и предполагаемое использование результата оценки в общеупотребительной практике всегда были синонимы. Никто не заказывал отчет с целью определения, к примеру, рыночной или иной стоимости. За то, что бы просто знать, сколько стоит объект оценки платить деньги никто не будет. Реальной целью оценки всегда было предполагаемое использование: для залога, продажи, вклада в уставный капитал и прочее. Пора привести данный пункт ФСО 2 к тому понятию, которое доступно и понятно потребителям оценочных услуг.</w:t>
            </w:r>
          </w:p>
          <w:p w14:paraId="3573A2FE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Именно цель оценки (то есть предполагаемое использование)  определяет базу оценки – вид стоимости (см. перевод МСО 2011), поэтому дополнительно указывать его в цели оценки избыточно.</w:t>
            </w:r>
          </w:p>
        </w:tc>
      </w:tr>
    </w:tbl>
    <w:p w14:paraId="3B9FCD06" w14:textId="77777777" w:rsidR="003B603E" w:rsidRPr="003B603E" w:rsidRDefault="003B603E" w:rsidP="003B603E">
      <w:pPr>
        <w:rPr>
          <w:rFonts w:ascii="Times New Roman" w:eastAsia="Calibri" w:hAnsi="Times New Roman" w:cs="Times New Roman"/>
          <w:sz w:val="24"/>
          <w:szCs w:val="24"/>
        </w:rPr>
      </w:pPr>
    </w:p>
    <w:p w14:paraId="7C893438" w14:textId="77777777" w:rsidR="003B603E" w:rsidRPr="003B603E" w:rsidRDefault="003B603E" w:rsidP="003B603E">
      <w:pPr>
        <w:rPr>
          <w:rFonts w:ascii="Times New Roman" w:eastAsia="Calibri" w:hAnsi="Times New Roman" w:cs="Times New Roman"/>
          <w:sz w:val="24"/>
          <w:szCs w:val="24"/>
        </w:rPr>
      </w:pPr>
    </w:p>
    <w:p w14:paraId="36A54EC4" w14:textId="77777777" w:rsidR="003B603E" w:rsidRPr="003B603E" w:rsidRDefault="003B603E" w:rsidP="003B603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603E">
        <w:rPr>
          <w:rFonts w:ascii="Times New Roman" w:eastAsia="Calibri" w:hAnsi="Times New Roman" w:cs="Times New Roman"/>
          <w:b/>
          <w:sz w:val="24"/>
          <w:szCs w:val="24"/>
        </w:rPr>
        <w:t>ФСО3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4221"/>
        <w:gridCol w:w="4658"/>
        <w:gridCol w:w="4763"/>
      </w:tblGrid>
      <w:tr w:rsidR="003B603E" w:rsidRPr="003B603E" w14:paraId="13C5225F" w14:textId="77777777" w:rsidTr="001711F3">
        <w:trPr>
          <w:tblHeader/>
        </w:trPr>
        <w:tc>
          <w:tcPr>
            <w:tcW w:w="918" w:type="dxa"/>
            <w:shd w:val="clear" w:color="auto" w:fill="F2F2F2"/>
          </w:tcPr>
          <w:p w14:paraId="7ECB89F2" w14:textId="77777777" w:rsidR="003B603E" w:rsidRPr="003B603E" w:rsidRDefault="003B603E" w:rsidP="003B6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Пункт</w:t>
            </w:r>
          </w:p>
        </w:tc>
        <w:tc>
          <w:tcPr>
            <w:tcW w:w="4238" w:type="dxa"/>
            <w:shd w:val="clear" w:color="auto" w:fill="F2F2F2"/>
          </w:tcPr>
          <w:p w14:paraId="6177F376" w14:textId="77777777" w:rsidR="003B603E" w:rsidRPr="003B603E" w:rsidRDefault="003B603E" w:rsidP="003B6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Текущая редакция</w:t>
            </w:r>
          </w:p>
        </w:tc>
        <w:tc>
          <w:tcPr>
            <w:tcW w:w="4678" w:type="dxa"/>
            <w:shd w:val="clear" w:color="auto" w:fill="F2F2F2"/>
          </w:tcPr>
          <w:p w14:paraId="51C3DB18" w14:textId="77777777" w:rsidR="003B603E" w:rsidRPr="003B603E" w:rsidRDefault="003B603E" w:rsidP="003B6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  <w:tc>
          <w:tcPr>
            <w:tcW w:w="4784" w:type="dxa"/>
            <w:shd w:val="clear" w:color="auto" w:fill="F2F2F2"/>
          </w:tcPr>
          <w:p w14:paraId="61B910C4" w14:textId="77777777" w:rsidR="003B603E" w:rsidRPr="003B603E" w:rsidRDefault="003B603E" w:rsidP="003B6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Обоснование</w:t>
            </w:r>
          </w:p>
        </w:tc>
      </w:tr>
      <w:tr w:rsidR="003B603E" w:rsidRPr="003B603E" w14:paraId="538C674E" w14:textId="77777777" w:rsidTr="001711F3">
        <w:trPr>
          <w:trHeight w:val="1287"/>
        </w:trPr>
        <w:tc>
          <w:tcPr>
            <w:tcW w:w="918" w:type="dxa"/>
            <w:shd w:val="clear" w:color="auto" w:fill="auto"/>
          </w:tcPr>
          <w:p w14:paraId="0CC450F6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8" w:type="dxa"/>
            <w:shd w:val="clear" w:color="auto" w:fill="auto"/>
          </w:tcPr>
          <w:p w14:paraId="6262948E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абз. 2</w:t>
            </w:r>
          </w:p>
          <w:p w14:paraId="7AE9E559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отчете должна быть изложена информация, существенная с точки зрения </w:t>
            </w:r>
            <w:r w:rsidRPr="003B603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оценщика для 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определения стоимости объекта оценки;</w:t>
            </w:r>
          </w:p>
        </w:tc>
        <w:tc>
          <w:tcPr>
            <w:tcW w:w="4678" w:type="dxa"/>
            <w:shd w:val="clear" w:color="auto" w:fill="auto"/>
          </w:tcPr>
          <w:p w14:paraId="7A107865" w14:textId="77777777" w:rsidR="003B603E" w:rsidRPr="003B603E" w:rsidRDefault="003B603E" w:rsidP="003B603E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абз. 2</w:t>
            </w:r>
          </w:p>
          <w:p w14:paraId="64E7BEA3" w14:textId="77777777" w:rsidR="003B603E" w:rsidRPr="003B603E" w:rsidRDefault="003B603E" w:rsidP="003B603E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отчете должна быть изложена 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вся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информация, существенная с точки зрения определения стоимости объекта оценки 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(принцип существенности);</w:t>
            </w:r>
          </w:p>
        </w:tc>
        <w:tc>
          <w:tcPr>
            <w:tcW w:w="4784" w:type="dxa"/>
            <w:shd w:val="clear" w:color="auto" w:fill="auto"/>
          </w:tcPr>
          <w:p w14:paraId="29896E79" w14:textId="77777777" w:rsidR="003B603E" w:rsidRPr="003B603E" w:rsidRDefault="003B603E" w:rsidP="003B603E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По абз. 2,</w:t>
            </w:r>
            <w:r w:rsidRPr="003B6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исключить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слово </w:t>
            </w:r>
            <w:r w:rsidRPr="003B6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«оценщика»,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 как у разных оценщиком понимание, что является существенным, может существенным образом отличатся. Один оценщик может считать, что кроме площади ничего не существенно, другой наоборот будет считать, что цвет обоев очень существенный фактор. </w:t>
            </w:r>
          </w:p>
          <w:p w14:paraId="185FEA15" w14:textId="77777777" w:rsidR="003B603E" w:rsidRPr="003B603E" w:rsidRDefault="003B603E" w:rsidP="003B603E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Сохранить названия принципов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6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(существенности, обоснованности, однозначности)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изложенных в п. 4 действующего ФСО № 3. Это позволит использовать приятые сокращения при экспертизе отчетов и упростить изложение материала.</w:t>
            </w:r>
          </w:p>
          <w:p w14:paraId="32A3DE1A" w14:textId="77777777" w:rsidR="003B603E" w:rsidRPr="003B603E" w:rsidRDefault="003B603E" w:rsidP="003B603E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03E" w:rsidRPr="003B603E" w14:paraId="0779BC2C" w14:textId="77777777" w:rsidTr="001711F3">
        <w:tc>
          <w:tcPr>
            <w:tcW w:w="918" w:type="dxa"/>
            <w:shd w:val="clear" w:color="auto" w:fill="auto"/>
          </w:tcPr>
          <w:p w14:paraId="4C640FB3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8" w:type="dxa"/>
            <w:shd w:val="clear" w:color="auto" w:fill="auto"/>
          </w:tcPr>
          <w:p w14:paraId="35BB233D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 зависимости от вида объекта оценки в отчете об оценке должны содержаться следующие </w:t>
            </w:r>
            <w:r w:rsidRPr="003B603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разделы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6743B380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 зависимости от вида объекта оценки в отчете об оценке должны содержаться следующие 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сведения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4" w:type="dxa"/>
            <w:shd w:val="clear" w:color="auto" w:fill="auto"/>
          </w:tcPr>
          <w:p w14:paraId="2B4A1543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Не разделы, а сведения.</w:t>
            </w:r>
          </w:p>
          <w:p w14:paraId="541E640F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1.Это несколько раз обсуждалось на рабочей группе.</w:t>
            </w:r>
          </w:p>
          <w:p w14:paraId="2CF1808C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2.Так написано в ФЗ-135.</w:t>
            </w:r>
          </w:p>
          <w:p w14:paraId="47DD4051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3.Далее по тексту очевидно, что это не разделы. Например, как может быть названием раздела следующая фраза: </w:t>
            </w:r>
          </w:p>
          <w:p w14:paraId="0DF94BE1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«к) описание процедуры согласования результатов оценки и выводы, полученные на основании проведенных расчетов по различным подходам, </w:t>
            </w:r>
          </w:p>
          <w:p w14:paraId="2FE0B228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 также при использовании разных методов в рамках применения каждого подхода, с целью определения итоговой величины стоимости, либо признание в качестве итоговой величины стоимости результата одного из подходов».</w:t>
            </w:r>
          </w:p>
          <w:p w14:paraId="5A1F83F1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И так по всему тексту!!!</w:t>
            </w:r>
          </w:p>
          <w:p w14:paraId="0615A579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Если есть сильное желание оставить отдельные разделы (например, основные факты и выводы) их нужно выделить отдельно, но только реально необходимые как раздел, чтобы не было абсурда как сейчас.</w:t>
            </w:r>
          </w:p>
        </w:tc>
      </w:tr>
      <w:tr w:rsidR="003B603E" w:rsidRPr="003B603E" w14:paraId="44EE3DEE" w14:textId="77777777" w:rsidTr="001711F3">
        <w:tc>
          <w:tcPr>
            <w:tcW w:w="918" w:type="dxa"/>
            <w:shd w:val="clear" w:color="auto" w:fill="auto"/>
          </w:tcPr>
          <w:p w14:paraId="643493B6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8д)</w:t>
            </w:r>
          </w:p>
        </w:tc>
        <w:tc>
          <w:tcPr>
            <w:tcW w:w="4238" w:type="dxa"/>
            <w:shd w:val="clear" w:color="auto" w:fill="auto"/>
          </w:tcPr>
          <w:p w14:paraId="5013A201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д) информация обо всех привлекаемых к проведению оценки и подготовке отчета об оценке организациях и специалистах с указанием их квалификации </w:t>
            </w:r>
          </w:p>
          <w:p w14:paraId="1C3AE7FE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и степени их участия в проведении оценки объекта оценки</w:t>
            </w:r>
          </w:p>
        </w:tc>
        <w:tc>
          <w:tcPr>
            <w:tcW w:w="4678" w:type="dxa"/>
            <w:shd w:val="clear" w:color="auto" w:fill="auto"/>
          </w:tcPr>
          <w:p w14:paraId="1AE2B6C5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д) информация обо всех привлекаемых к проведению оценки и подготовке отчета об оценке организациях и специалистах с указанием их квалификации 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степени их участия в проведении оценки объекта оценки 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(в случае их привлечения</w:t>
            </w:r>
            <w:r w:rsidRPr="003B60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green"/>
              </w:rPr>
              <w:t>)</w:t>
            </w:r>
          </w:p>
          <w:p w14:paraId="068A5F96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Результаты экспертных суждений привлеченных специалистов (экспертов) должны быть надлежащим образом оформлены, подписаны и приведены в приложении к отчету. Допускается использование ссылок на результаты экспертных суждений опубликованных на специализированных сайтах сети Интернет и в специализированных изданиях.</w:t>
            </w:r>
          </w:p>
        </w:tc>
        <w:tc>
          <w:tcPr>
            <w:tcW w:w="4784" w:type="dxa"/>
            <w:shd w:val="clear" w:color="auto" w:fill="auto"/>
          </w:tcPr>
          <w:p w14:paraId="0581C3EE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такой информации «формалисты» трактуют как нарушение, хотя в 99,9% случаев никого оценщик не привлекает.</w:t>
            </w:r>
          </w:p>
          <w:p w14:paraId="5E462B0B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оформлению экспертного суждения расширены. Данное дополнение предназначено для исключения случаев, когда экспертом являются сотрудники организации, в которой работает оценщик выполняющий работу или специалист совершенно «далекий» от сегмента рынка объекта оценки. Письменное заключение эксперта и/или официальная публикация повышает ответственность эксперта.</w:t>
            </w:r>
          </w:p>
        </w:tc>
      </w:tr>
      <w:tr w:rsidR="003B603E" w:rsidRPr="003B603E" w14:paraId="3ADB56FE" w14:textId="77777777" w:rsidTr="001711F3">
        <w:tc>
          <w:tcPr>
            <w:tcW w:w="918" w:type="dxa"/>
            <w:shd w:val="clear" w:color="auto" w:fill="auto"/>
          </w:tcPr>
          <w:p w14:paraId="02CAB3BF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8з)</w:t>
            </w:r>
          </w:p>
        </w:tc>
        <w:tc>
          <w:tcPr>
            <w:tcW w:w="4238" w:type="dxa"/>
            <w:shd w:val="clear" w:color="auto" w:fill="auto"/>
          </w:tcPr>
          <w:p w14:paraId="355E6986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рынка объекта оценки, ценообразующих факторов, </w:t>
            </w:r>
            <w:r w:rsidRPr="003B603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макроэкономических показателей и тенденций,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также  других внешних 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факторов,  влияющих на его стоимость. </w:t>
            </w:r>
            <w:r w:rsidRPr="003B603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При этом использование данных из различных источников должно быть обосновано;</w:t>
            </w:r>
          </w:p>
        </w:tc>
        <w:tc>
          <w:tcPr>
            <w:tcW w:w="4678" w:type="dxa"/>
            <w:shd w:val="clear" w:color="auto" w:fill="auto"/>
          </w:tcPr>
          <w:p w14:paraId="020309EF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 рынка объекта оценки, ценообразующих факторов, а также  других внешних факторов,  влияющих на его стоимость.</w:t>
            </w:r>
          </w:p>
          <w:p w14:paraId="49A0CE8B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209798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Исключить второе предложение</w:t>
            </w:r>
          </w:p>
        </w:tc>
        <w:tc>
          <w:tcPr>
            <w:tcW w:w="4784" w:type="dxa"/>
            <w:shd w:val="clear" w:color="auto" w:fill="auto"/>
          </w:tcPr>
          <w:p w14:paraId="32647EAE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Оба красных блока не обсуждались на Рабочей группе и появились непонятно откуда в последней редакции.</w:t>
            </w:r>
          </w:p>
          <w:p w14:paraId="545CB898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Для оценки типовой квартиры или станка не нужно </w:t>
            </w:r>
            <w:r w:rsidRPr="003B603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макроэкономических показателей и тенденций, 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не нужно наполнять отчет бесполезной информацией и смешить пользователей. Пусть оценщик сам определяет границы анализа рынка!</w:t>
            </w:r>
          </w:p>
          <w:p w14:paraId="042281D4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Требование лишено всякого смыла!!! 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если из одного источника данные, то не надо обосновывать? Оценщик </w:t>
            </w:r>
            <w:r w:rsidRPr="003B603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всегда (!!!) 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использует данные для анализа рынка из различных источников! Это не требует обоснования, это очевидно. </w:t>
            </w:r>
          </w:p>
        </w:tc>
      </w:tr>
      <w:tr w:rsidR="003B603E" w:rsidRPr="003B603E" w14:paraId="677A1CD3" w14:textId="77777777" w:rsidTr="001711F3">
        <w:tc>
          <w:tcPr>
            <w:tcW w:w="918" w:type="dxa"/>
            <w:shd w:val="clear" w:color="auto" w:fill="auto"/>
          </w:tcPr>
          <w:p w14:paraId="0BA511DD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8и)</w:t>
            </w:r>
          </w:p>
        </w:tc>
        <w:tc>
          <w:tcPr>
            <w:tcW w:w="4238" w:type="dxa"/>
            <w:shd w:val="clear" w:color="auto" w:fill="auto"/>
          </w:tcPr>
          <w:p w14:paraId="56AAF89E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процесса оценки объекта оценки, в части применения подхода (подходов) к оценке. В </w:t>
            </w:r>
            <w:r w:rsidRPr="003B603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данном разделе 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 быть описано обоснование </w:t>
            </w:r>
            <w:r w:rsidRPr="003B603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применимости 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используемых подходов к оценке и методов в рамках каждого из применяемых подходов, приведена последовательность определения стоимости объекта оценки, а также приведены соответствующие расчеты…</w:t>
            </w:r>
          </w:p>
        </w:tc>
        <w:tc>
          <w:tcPr>
            <w:tcW w:w="4678" w:type="dxa"/>
            <w:shd w:val="clear" w:color="auto" w:fill="auto"/>
          </w:tcPr>
          <w:p w14:paraId="78109B1D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процесса оценки объекта оценки, в части применения подхода (подходов) к оценке. В 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отчете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 быть описано обоснование 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применения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используемых подходов к оценке и методов в рамках каждого из применяемых подходов, приведена последовательность определения стоимости объекта оценки, а также приведены соответствующие расчеты.</w:t>
            </w:r>
            <w:r w:rsidRPr="003B603E">
              <w:rPr>
                <w:rFonts w:ascii="Calibri" w:eastAsia="Calibri" w:hAnsi="Calibri" w:cs="Times New Roman"/>
              </w:rPr>
              <w:t xml:space="preserve"> 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В случае не применения, какого либо из подходов к оценке объекта оценки, отказ от применения, должен быть обоснован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4" w:type="dxa"/>
            <w:shd w:val="clear" w:color="auto" w:fill="auto"/>
          </w:tcPr>
          <w:p w14:paraId="301B9FF2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Требование «обоснование применимости используемых подходов к оценке»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6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обязывает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оценщика обосновывать не применение подходов, таким образом в предлагаемой редакции исключена обязанность Оценщика использования всех трех подход к оценке, или обоснование отказа от использования того или иного подхода. </w:t>
            </w:r>
          </w:p>
          <w:p w14:paraId="2ED3DCDC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При внедрении данной трактовки, в оценочной практике обоснованным станет считаться, только один подход и один метод, «необходимый» оценщику, для минимизации затрат на работу и/или выполнения «особых пожеланий» заказчика.</w:t>
            </w:r>
          </w:p>
          <w:p w14:paraId="10CCA483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Предлагаем добавить требование о обязательной необходимости отказа от применения подходов к оценке объекта оценки как это учтено в действующей редакции стандарта (п. 8з) ФСО 3).</w:t>
            </w:r>
          </w:p>
          <w:p w14:paraId="15CFFF19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Так же заменено « данном разделе» на «отчете», так как изложить весь объем информации по выбору и применению всех подходов и методов, а так как же всех расчетов в одном разделе Отчета достаточно сложно и не наглядно. При этом сейчас некоторое эксперты трактуют дословно данное требование и считают если выбор подходов и расчеты в рамках подходов отражены в отчете в разных главах то это нарушение законодательства. </w:t>
            </w:r>
          </w:p>
        </w:tc>
      </w:tr>
      <w:tr w:rsidR="003B603E" w:rsidRPr="003B603E" w14:paraId="37353D9E" w14:textId="77777777" w:rsidTr="001711F3">
        <w:tc>
          <w:tcPr>
            <w:tcW w:w="918" w:type="dxa"/>
            <w:shd w:val="clear" w:color="auto" w:fill="auto"/>
          </w:tcPr>
          <w:p w14:paraId="52B0B413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8к)</w:t>
            </w:r>
          </w:p>
        </w:tc>
        <w:tc>
          <w:tcPr>
            <w:tcW w:w="4238" w:type="dxa"/>
            <w:shd w:val="clear" w:color="auto" w:fill="auto"/>
          </w:tcPr>
          <w:p w14:paraId="5FF92C8B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к) описание процедуры согласования результатов оценки и </w:t>
            </w:r>
            <w:r w:rsidRPr="003B603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выводы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, полученные на основании проведенных расчетов по различным подходам, а также при использовании разных методов в рамках применения каждого подхода, с целью определения итоговой величины стоимости, либо признание в качестве итоговой величины стоимости результата одного из подходов.</w:t>
            </w:r>
          </w:p>
        </w:tc>
        <w:tc>
          <w:tcPr>
            <w:tcW w:w="4678" w:type="dxa"/>
            <w:shd w:val="clear" w:color="auto" w:fill="auto"/>
          </w:tcPr>
          <w:p w14:paraId="752EC30F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Оставить текст в существующей редакции ФСО 3 пункт 8 и) </w:t>
            </w:r>
          </w:p>
          <w:p w14:paraId="1DFE0C3D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результатов. В разделе согласования результатов должно быть приведено согласование результатов расчетов, полученных с применением различных подходов.</w:t>
            </w:r>
          </w:p>
          <w:p w14:paraId="36284851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согласовании результатов, полученных при применении различных подходов к оценке, а также использовании разных методов в рамках применения каждого подхода, оценщик должен привести в отчете об оценке описание процедуры соответствующего согласования. Если при согласовании используется взвешивание результатов, полученных при применении различных подходов к оценке, а также использовании разных методов в рамках применения каждого подхода, оценщик должен обосновать выбор использованных весов, присваиваемых результатам, полученным 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 применении различных подходов к оценке, а также использовании разных методов в рамках применения каждого подхода.</w:t>
            </w:r>
          </w:p>
          <w:p w14:paraId="426B2231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14:paraId="230B98AE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Предлагаемый текст, сложен для понимания.</w:t>
            </w: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непонятно, что имеется ввиду под словом «выводы». Предложение: оставить текст в существующей редакции. </w:t>
            </w:r>
          </w:p>
          <w:p w14:paraId="0EED0DC0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03E" w:rsidRPr="003B603E" w14:paraId="64A1C67A" w14:textId="77777777" w:rsidTr="001711F3">
        <w:tc>
          <w:tcPr>
            <w:tcW w:w="918" w:type="dxa"/>
            <w:shd w:val="clear" w:color="auto" w:fill="auto"/>
          </w:tcPr>
          <w:p w14:paraId="10899916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4238" w:type="dxa"/>
            <w:shd w:val="clear" w:color="auto" w:fill="auto"/>
          </w:tcPr>
          <w:p w14:paraId="09C2ADCC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V. Требования к описанию в отчете об оценке методологии оценки и расчетов</w:t>
            </w:r>
          </w:p>
        </w:tc>
        <w:tc>
          <w:tcPr>
            <w:tcW w:w="4678" w:type="dxa"/>
            <w:shd w:val="clear" w:color="auto" w:fill="auto"/>
          </w:tcPr>
          <w:p w14:paraId="0C92258F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Исключить, добавив оставшиеся пункты в общую часть</w:t>
            </w:r>
          </w:p>
        </w:tc>
        <w:tc>
          <w:tcPr>
            <w:tcW w:w="4784" w:type="dxa"/>
            <w:shd w:val="clear" w:color="auto" w:fill="auto"/>
          </w:tcPr>
          <w:p w14:paraId="5DB78623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пунктов дублирует предыдущие.</w:t>
            </w:r>
          </w:p>
        </w:tc>
      </w:tr>
      <w:tr w:rsidR="003B603E" w:rsidRPr="003B603E" w14:paraId="0F0ECBB6" w14:textId="77777777" w:rsidTr="001711F3">
        <w:tc>
          <w:tcPr>
            <w:tcW w:w="918" w:type="dxa"/>
            <w:shd w:val="clear" w:color="auto" w:fill="auto"/>
          </w:tcPr>
          <w:p w14:paraId="2D482763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38" w:type="dxa"/>
            <w:shd w:val="clear" w:color="auto" w:fill="auto"/>
          </w:tcPr>
          <w:p w14:paraId="441BDE7A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14. В отчете об оценке должно содержаться обоснование выбора примененных оценщиком подходов и методов оценки.</w:t>
            </w:r>
          </w:p>
        </w:tc>
        <w:tc>
          <w:tcPr>
            <w:tcW w:w="4678" w:type="dxa"/>
            <w:shd w:val="clear" w:color="auto" w:fill="auto"/>
          </w:tcPr>
          <w:p w14:paraId="7C32BC2B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Исключить</w:t>
            </w:r>
          </w:p>
        </w:tc>
        <w:tc>
          <w:tcPr>
            <w:tcW w:w="4784" w:type="dxa"/>
            <w:shd w:val="clear" w:color="auto" w:fill="auto"/>
          </w:tcPr>
          <w:p w14:paraId="4169B342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Повтор п.8и)</w:t>
            </w:r>
          </w:p>
        </w:tc>
      </w:tr>
      <w:tr w:rsidR="003B603E" w:rsidRPr="003B603E" w14:paraId="59709045" w14:textId="77777777" w:rsidTr="001711F3">
        <w:tc>
          <w:tcPr>
            <w:tcW w:w="918" w:type="dxa"/>
            <w:shd w:val="clear" w:color="auto" w:fill="auto"/>
          </w:tcPr>
          <w:p w14:paraId="45A9CBB3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38" w:type="dxa"/>
            <w:shd w:val="clear" w:color="auto" w:fill="auto"/>
          </w:tcPr>
          <w:p w14:paraId="1DF86FEA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В отчете об оценке должно содержаться описание последовательности определения стоимости объекта оценки, расчетов и пояснений к ним, обеспечивающее проверяемость выводов и результатов, представленных или полученных оценщиком в рамках применения подходов и методов, использованных при проведении оценки.</w:t>
            </w:r>
          </w:p>
        </w:tc>
        <w:tc>
          <w:tcPr>
            <w:tcW w:w="4678" w:type="dxa"/>
            <w:shd w:val="clear" w:color="auto" w:fill="auto"/>
          </w:tcPr>
          <w:p w14:paraId="5EEA2E56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Содержание отчета об оценке должно обеспечивать проверяемость выводов и результатов, представленных или полученных оценщиком в рамках применения подходов и методов оценки</w:t>
            </w:r>
          </w:p>
          <w:p w14:paraId="59007A46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14:paraId="025FB1E4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14:paraId="2C381EDE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 п.8и) </w:t>
            </w:r>
          </w:p>
          <w:p w14:paraId="0004F67C" w14:textId="77777777" w:rsidR="003B603E" w:rsidRPr="003B603E" w:rsidRDefault="003B603E" w:rsidP="003B6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3E">
              <w:rPr>
                <w:rFonts w:ascii="Times New Roman" w:eastAsia="Calibri" w:hAnsi="Times New Roman" w:cs="Times New Roman"/>
                <w:sz w:val="24"/>
                <w:szCs w:val="24"/>
              </w:rPr>
              <w:t>Перенести эту фразу в п. 5 (принципы), как было раньше.</w:t>
            </w:r>
          </w:p>
        </w:tc>
      </w:tr>
    </w:tbl>
    <w:p w14:paraId="4E5B7AC3" w14:textId="77777777" w:rsidR="003B603E" w:rsidRPr="003B603E" w:rsidRDefault="003B603E" w:rsidP="003B60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86DD5B" w14:textId="77777777" w:rsidR="003B603E" w:rsidRPr="003B603E" w:rsidRDefault="003B603E" w:rsidP="003B603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B603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CED5C7E" wp14:editId="190235ED">
            <wp:simplePos x="0" y="0"/>
            <wp:positionH relativeFrom="column">
              <wp:posOffset>3175635</wp:posOffset>
            </wp:positionH>
            <wp:positionV relativeFrom="paragraph">
              <wp:posOffset>313690</wp:posOffset>
            </wp:positionV>
            <wp:extent cx="847725" cy="453390"/>
            <wp:effectExtent l="0" t="0" r="9525" b="381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48" t="3986" r="44827" b="84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603E">
        <w:rPr>
          <w:rFonts w:ascii="Times New Roman" w:eastAsia="Calibri" w:hAnsi="Times New Roman" w:cs="Times New Roman"/>
        </w:rPr>
        <w:t>Над предложениями работали:</w:t>
      </w:r>
    </w:p>
    <w:p w14:paraId="39E6E0B9" w14:textId="77777777" w:rsidR="003B603E" w:rsidRPr="003B603E" w:rsidRDefault="003B603E" w:rsidP="003B603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B603E">
        <w:rPr>
          <w:rFonts w:ascii="Times New Roman" w:eastAsia="Calibri" w:hAnsi="Times New Roman" w:cs="Times New Roman"/>
        </w:rPr>
        <w:t xml:space="preserve">Член Экспертного совета ООО «РОО», </w:t>
      </w:r>
    </w:p>
    <w:p w14:paraId="6947EC00" w14:textId="77777777" w:rsidR="003B603E" w:rsidRPr="003B603E" w:rsidRDefault="003B603E" w:rsidP="003B603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B603E">
        <w:rPr>
          <w:rFonts w:ascii="Times New Roman" w:eastAsia="Calibri" w:hAnsi="Times New Roman" w:cs="Times New Roman"/>
        </w:rPr>
        <w:t xml:space="preserve">Член ЭКК  ВОО  «РОО» </w:t>
      </w:r>
      <w:r w:rsidRPr="003B603E">
        <w:rPr>
          <w:rFonts w:ascii="Times New Roman" w:eastAsia="Calibri" w:hAnsi="Times New Roman" w:cs="Times New Roman"/>
        </w:rPr>
        <w:tab/>
      </w:r>
      <w:r w:rsidRPr="003B603E">
        <w:rPr>
          <w:rFonts w:ascii="Times New Roman" w:eastAsia="Calibri" w:hAnsi="Times New Roman" w:cs="Times New Roman"/>
        </w:rPr>
        <w:tab/>
      </w:r>
      <w:r w:rsidRPr="003B603E">
        <w:rPr>
          <w:rFonts w:ascii="Times New Roman" w:eastAsia="Calibri" w:hAnsi="Times New Roman" w:cs="Times New Roman"/>
        </w:rPr>
        <w:tab/>
      </w:r>
      <w:r w:rsidRPr="003B603E">
        <w:rPr>
          <w:rFonts w:ascii="Times New Roman" w:eastAsia="Calibri" w:hAnsi="Times New Roman" w:cs="Times New Roman"/>
        </w:rPr>
        <w:tab/>
      </w:r>
      <w:r w:rsidRPr="003B603E">
        <w:rPr>
          <w:rFonts w:ascii="Times New Roman" w:eastAsia="Calibri" w:hAnsi="Times New Roman" w:cs="Times New Roman"/>
        </w:rPr>
        <w:tab/>
      </w:r>
      <w:r w:rsidRPr="003B603E">
        <w:rPr>
          <w:rFonts w:ascii="Times New Roman" w:eastAsia="Calibri" w:hAnsi="Times New Roman" w:cs="Times New Roman"/>
        </w:rPr>
        <w:tab/>
      </w:r>
      <w:r w:rsidRPr="003B603E">
        <w:rPr>
          <w:rFonts w:ascii="Times New Roman" w:eastAsia="Calibri" w:hAnsi="Times New Roman" w:cs="Times New Roman"/>
        </w:rPr>
        <w:tab/>
        <w:t>М.В. Круглов</w:t>
      </w:r>
    </w:p>
    <w:p w14:paraId="0735B131" w14:textId="77777777" w:rsidR="003B603E" w:rsidRPr="003B603E" w:rsidRDefault="003B603E" w:rsidP="003B603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B603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4DB8B02" wp14:editId="75709142">
            <wp:simplePos x="0" y="0"/>
            <wp:positionH relativeFrom="column">
              <wp:posOffset>2873375</wp:posOffset>
            </wp:positionH>
            <wp:positionV relativeFrom="paragraph">
              <wp:posOffset>13335</wp:posOffset>
            </wp:positionV>
            <wp:extent cx="1119505" cy="824230"/>
            <wp:effectExtent l="0" t="0" r="4445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DB5B93" w14:textId="77777777" w:rsidR="003B603E" w:rsidRPr="003B603E" w:rsidRDefault="003B603E" w:rsidP="003B603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B603E">
        <w:rPr>
          <w:rFonts w:ascii="Times New Roman" w:eastAsia="Calibri" w:hAnsi="Times New Roman" w:cs="Times New Roman"/>
        </w:rPr>
        <w:t xml:space="preserve">Член Экспертного совета  ООО «РОО», </w:t>
      </w:r>
    </w:p>
    <w:p w14:paraId="4754E7C6" w14:textId="77777777" w:rsidR="003B603E" w:rsidRPr="003B603E" w:rsidRDefault="003B603E" w:rsidP="003B603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B603E">
        <w:rPr>
          <w:rFonts w:ascii="Times New Roman" w:eastAsia="Calibri" w:hAnsi="Times New Roman" w:cs="Times New Roman"/>
        </w:rPr>
        <w:t>Председатель ЭКК ВОО «РОО»</w:t>
      </w:r>
      <w:r w:rsidRPr="003B603E">
        <w:rPr>
          <w:rFonts w:ascii="Times New Roman" w:eastAsia="Calibri" w:hAnsi="Times New Roman" w:cs="Times New Roman"/>
        </w:rPr>
        <w:tab/>
      </w:r>
      <w:r w:rsidRPr="003B603E">
        <w:rPr>
          <w:rFonts w:ascii="Times New Roman" w:eastAsia="Calibri" w:hAnsi="Times New Roman" w:cs="Times New Roman"/>
        </w:rPr>
        <w:tab/>
      </w:r>
      <w:r w:rsidRPr="003B603E">
        <w:rPr>
          <w:rFonts w:ascii="Times New Roman" w:eastAsia="Calibri" w:hAnsi="Times New Roman" w:cs="Times New Roman"/>
        </w:rPr>
        <w:tab/>
      </w:r>
      <w:r w:rsidRPr="003B603E">
        <w:rPr>
          <w:rFonts w:ascii="Times New Roman" w:eastAsia="Calibri" w:hAnsi="Times New Roman" w:cs="Times New Roman"/>
        </w:rPr>
        <w:tab/>
      </w:r>
      <w:r w:rsidRPr="003B603E">
        <w:rPr>
          <w:rFonts w:ascii="Times New Roman" w:eastAsia="Calibri" w:hAnsi="Times New Roman" w:cs="Times New Roman"/>
        </w:rPr>
        <w:tab/>
      </w:r>
      <w:r w:rsidRPr="003B603E">
        <w:rPr>
          <w:rFonts w:ascii="Times New Roman" w:eastAsia="Calibri" w:hAnsi="Times New Roman" w:cs="Times New Roman"/>
        </w:rPr>
        <w:tab/>
        <w:t>Л.М. Красильников</w:t>
      </w:r>
    </w:p>
    <w:p w14:paraId="1F4C7AD0" w14:textId="77777777" w:rsidR="003B603E" w:rsidRPr="003B603E" w:rsidRDefault="003B603E" w:rsidP="003B603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3B603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7A818064" wp14:editId="5527806D">
            <wp:simplePos x="0" y="0"/>
            <wp:positionH relativeFrom="column">
              <wp:posOffset>3061970</wp:posOffset>
            </wp:positionH>
            <wp:positionV relativeFrom="paragraph">
              <wp:posOffset>213360</wp:posOffset>
            </wp:positionV>
            <wp:extent cx="1073785" cy="529590"/>
            <wp:effectExtent l="0" t="0" r="0" b="381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035E8" w14:textId="77777777" w:rsidR="003B603E" w:rsidRPr="003B603E" w:rsidRDefault="003B603E" w:rsidP="003B6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 РСОД</w:t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И.В. Иванова</w:t>
      </w:r>
    </w:p>
    <w:p w14:paraId="0CF0F5E7" w14:textId="77777777" w:rsidR="003B603E" w:rsidRPr="003B603E" w:rsidRDefault="003B603E" w:rsidP="003B6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16529F" w14:textId="77777777" w:rsidR="003B603E" w:rsidRPr="003B603E" w:rsidRDefault="003B603E" w:rsidP="003B6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РСОД:</w:t>
      </w:r>
    </w:p>
    <w:p w14:paraId="5A6C5DF9" w14:textId="77777777" w:rsidR="003B603E" w:rsidRPr="003B603E" w:rsidRDefault="003B603E" w:rsidP="003B6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5E0CDA" w14:textId="77777777" w:rsidR="003B603E" w:rsidRPr="003B603E" w:rsidRDefault="003B603E" w:rsidP="003B60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3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776B86D" wp14:editId="508E1DD7">
            <wp:simplePos x="0" y="0"/>
            <wp:positionH relativeFrom="column">
              <wp:posOffset>3173095</wp:posOffset>
            </wp:positionH>
            <wp:positionV relativeFrom="paragraph">
              <wp:posOffset>6350</wp:posOffset>
            </wp:positionV>
            <wp:extent cx="929640" cy="602615"/>
            <wp:effectExtent l="0" t="0" r="3810" b="698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FB02E" w14:textId="77777777" w:rsidR="003B603E" w:rsidRPr="003B603E" w:rsidRDefault="003B603E" w:rsidP="003B60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НП СРО «Экспертный совет»</w:t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Д.С. Галицкий</w:t>
      </w:r>
    </w:p>
    <w:p w14:paraId="6C61313A" w14:textId="77777777" w:rsidR="003B603E" w:rsidRPr="003B603E" w:rsidRDefault="003B603E" w:rsidP="003B60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3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71B9EB0" wp14:editId="79A3C11E">
            <wp:simplePos x="0" y="0"/>
            <wp:positionH relativeFrom="column">
              <wp:posOffset>3162300</wp:posOffset>
            </wp:positionH>
            <wp:positionV relativeFrom="paragraph">
              <wp:posOffset>108585</wp:posOffset>
            </wp:positionV>
            <wp:extent cx="975360" cy="454660"/>
            <wp:effectExtent l="0" t="0" r="0" b="254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AA6492" w14:textId="77777777" w:rsidR="003B603E" w:rsidRPr="003B603E" w:rsidRDefault="003B603E" w:rsidP="003B60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«РОО»</w:t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Н.Е. Куканова</w:t>
      </w:r>
    </w:p>
    <w:p w14:paraId="0EE12177" w14:textId="77777777" w:rsidR="003B603E" w:rsidRPr="003B603E" w:rsidRDefault="003B603E" w:rsidP="003B60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CD7F56" w14:textId="38529F51" w:rsidR="003B603E" w:rsidRPr="003B603E" w:rsidRDefault="003B603E" w:rsidP="003B60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3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348D6B" wp14:editId="6D21FC8A">
            <wp:simplePos x="0" y="0"/>
            <wp:positionH relativeFrom="column">
              <wp:posOffset>3416935</wp:posOffset>
            </wp:positionH>
            <wp:positionV relativeFrom="paragraph">
              <wp:posOffset>-106680</wp:posOffset>
            </wp:positionV>
            <wp:extent cx="716280" cy="409575"/>
            <wp:effectExtent l="0" t="0" r="7620" b="952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86" t="11923" r="54070" b="81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НП «СМАО»</w:t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</w:t>
      </w:r>
      <w:r w:rsidR="00760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 Ястребов</w:t>
      </w:r>
    </w:p>
    <w:p w14:paraId="7F9AED6A" w14:textId="77777777" w:rsidR="003B603E" w:rsidRPr="003B603E" w:rsidRDefault="003B603E" w:rsidP="003B603E">
      <w:pPr>
        <w:tabs>
          <w:tab w:val="left" w:pos="708"/>
          <w:tab w:val="left" w:pos="57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7593005A" w14:textId="77777777" w:rsidR="003B603E" w:rsidRPr="003B603E" w:rsidRDefault="003B603E" w:rsidP="003B60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</w:t>
      </w:r>
    </w:p>
    <w:p w14:paraId="39EC11F1" w14:textId="77777777" w:rsidR="003B603E" w:rsidRPr="003B603E" w:rsidRDefault="003B603E" w:rsidP="003B60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3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BE21C97" wp14:editId="3C6F9A68">
            <wp:simplePos x="0" y="0"/>
            <wp:positionH relativeFrom="column">
              <wp:posOffset>3415665</wp:posOffset>
            </wp:positionH>
            <wp:positionV relativeFrom="paragraph">
              <wp:posOffset>-211455</wp:posOffset>
            </wp:positionV>
            <wp:extent cx="652145" cy="57912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НП СРО «ОПЭО»</w:t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А.В. Ерихов</w:t>
      </w:r>
    </w:p>
    <w:p w14:paraId="30790C7D" w14:textId="77777777" w:rsidR="003B603E" w:rsidRPr="003B603E" w:rsidRDefault="003B603E" w:rsidP="003B60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E0EB42" w14:textId="77777777" w:rsidR="003B603E" w:rsidRPr="003B603E" w:rsidRDefault="003B603E" w:rsidP="003B60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AE0046" w14:textId="77777777" w:rsidR="003B603E" w:rsidRPr="003B603E" w:rsidRDefault="003B603E" w:rsidP="003B60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3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083618C" wp14:editId="6B420290">
            <wp:simplePos x="0" y="0"/>
            <wp:positionH relativeFrom="column">
              <wp:posOffset>3256915</wp:posOffset>
            </wp:positionH>
            <wp:positionV relativeFrom="paragraph">
              <wp:posOffset>-125095</wp:posOffset>
            </wp:positionV>
            <wp:extent cx="772160" cy="397510"/>
            <wp:effectExtent l="0" t="0" r="8890" b="254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НП СРО «Кадастр-оценка»</w:t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Д.А. Ильинский</w:t>
      </w:r>
    </w:p>
    <w:p w14:paraId="7F4D20DE" w14:textId="77777777" w:rsidR="003B603E" w:rsidRPr="003B603E" w:rsidRDefault="003B603E" w:rsidP="003B60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F2E1A1" w14:textId="77777777" w:rsidR="003B603E" w:rsidRPr="003B603E" w:rsidRDefault="003B603E" w:rsidP="003B60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3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5E692BD2" wp14:editId="03C30B82">
            <wp:simplePos x="0" y="0"/>
            <wp:positionH relativeFrom="column">
              <wp:posOffset>3173095</wp:posOffset>
            </wp:positionH>
            <wp:positionV relativeFrom="paragraph">
              <wp:posOffset>8255</wp:posOffset>
            </wp:positionV>
            <wp:extent cx="854075" cy="686435"/>
            <wp:effectExtent l="0" t="0" r="317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6B66E" w14:textId="77777777" w:rsidR="003B603E" w:rsidRPr="003B603E" w:rsidRDefault="003B603E" w:rsidP="003B60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НП СРО «МСО»</w:t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В.А. Оголь</w:t>
      </w:r>
    </w:p>
    <w:p w14:paraId="0E5164BE" w14:textId="77777777" w:rsidR="003B603E" w:rsidRPr="003B603E" w:rsidRDefault="003B603E" w:rsidP="003B60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928B23" w14:textId="77777777" w:rsidR="003B603E" w:rsidRPr="003B603E" w:rsidRDefault="003B603E" w:rsidP="003B60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3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C9D2323" wp14:editId="6359D64C">
            <wp:simplePos x="0" y="0"/>
            <wp:positionH relativeFrom="column">
              <wp:posOffset>3138805</wp:posOffset>
            </wp:positionH>
            <wp:positionV relativeFrom="paragraph">
              <wp:posOffset>137795</wp:posOffset>
            </wp:positionV>
            <wp:extent cx="662940" cy="541655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НП СРО «ДСО»</w:t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И.В. Косинцев</w:t>
      </w:r>
    </w:p>
    <w:p w14:paraId="07F0ADD0" w14:textId="77777777" w:rsidR="003B603E" w:rsidRPr="003B603E" w:rsidRDefault="003B603E" w:rsidP="003B60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48ADD9" w14:textId="77777777" w:rsidR="003B603E" w:rsidRPr="003B603E" w:rsidRDefault="003B603E" w:rsidP="003B603E">
      <w:pPr>
        <w:tabs>
          <w:tab w:val="num" w:pos="2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423AE4" w14:textId="77777777" w:rsidR="003B603E" w:rsidRPr="003B603E" w:rsidRDefault="003B603E" w:rsidP="003B60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14084C" w14:textId="77777777" w:rsidR="002617A6" w:rsidRDefault="002617A6" w:rsidP="00F851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2617A6" w:rsidSect="00652D72">
      <w:footerReference w:type="default" r:id="rId18"/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A2A5F" w14:textId="77777777" w:rsidR="00B477D6" w:rsidRDefault="00B477D6" w:rsidP="00652D72">
      <w:pPr>
        <w:spacing w:after="0" w:line="240" w:lineRule="auto"/>
      </w:pPr>
      <w:r>
        <w:separator/>
      </w:r>
    </w:p>
  </w:endnote>
  <w:endnote w:type="continuationSeparator" w:id="0">
    <w:p w14:paraId="046E6357" w14:textId="77777777" w:rsidR="00B477D6" w:rsidRDefault="00B477D6" w:rsidP="0065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77051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70CEA23" w14:textId="77777777" w:rsidR="00652D72" w:rsidRPr="00652D72" w:rsidRDefault="00652D72">
        <w:pPr>
          <w:pStyle w:val="af"/>
          <w:jc w:val="center"/>
          <w:rPr>
            <w:rFonts w:ascii="Times New Roman" w:hAnsi="Times New Roman" w:cs="Times New Roman"/>
          </w:rPr>
        </w:pPr>
        <w:r w:rsidRPr="00652D72">
          <w:rPr>
            <w:rFonts w:ascii="Times New Roman" w:hAnsi="Times New Roman" w:cs="Times New Roman"/>
          </w:rPr>
          <w:fldChar w:fldCharType="begin"/>
        </w:r>
        <w:r w:rsidRPr="00652D72">
          <w:rPr>
            <w:rFonts w:ascii="Times New Roman" w:hAnsi="Times New Roman" w:cs="Times New Roman"/>
          </w:rPr>
          <w:instrText>PAGE   \* MERGEFORMAT</w:instrText>
        </w:r>
        <w:r w:rsidRPr="00652D72">
          <w:rPr>
            <w:rFonts w:ascii="Times New Roman" w:hAnsi="Times New Roman" w:cs="Times New Roman"/>
          </w:rPr>
          <w:fldChar w:fldCharType="separate"/>
        </w:r>
        <w:r w:rsidR="007608E5">
          <w:rPr>
            <w:rFonts w:ascii="Times New Roman" w:hAnsi="Times New Roman" w:cs="Times New Roman"/>
            <w:noProof/>
          </w:rPr>
          <w:t>13</w:t>
        </w:r>
        <w:r w:rsidRPr="00652D72">
          <w:rPr>
            <w:rFonts w:ascii="Times New Roman" w:hAnsi="Times New Roman" w:cs="Times New Roman"/>
          </w:rPr>
          <w:fldChar w:fldCharType="end"/>
        </w:r>
      </w:p>
    </w:sdtContent>
  </w:sdt>
  <w:p w14:paraId="657EF6BD" w14:textId="77777777" w:rsidR="00652D72" w:rsidRDefault="00652D7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0B73D" w14:textId="77777777" w:rsidR="00B477D6" w:rsidRDefault="00B477D6" w:rsidP="00652D72">
      <w:pPr>
        <w:spacing w:after="0" w:line="240" w:lineRule="auto"/>
      </w:pPr>
      <w:r>
        <w:separator/>
      </w:r>
    </w:p>
  </w:footnote>
  <w:footnote w:type="continuationSeparator" w:id="0">
    <w:p w14:paraId="38596429" w14:textId="77777777" w:rsidR="00B477D6" w:rsidRDefault="00B477D6" w:rsidP="00652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56FA1"/>
    <w:multiLevelType w:val="hybridMultilevel"/>
    <w:tmpl w:val="62E07FFE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8F80B57"/>
    <w:multiLevelType w:val="hybridMultilevel"/>
    <w:tmpl w:val="6EE6D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08"/>
    <w:rsid w:val="00030329"/>
    <w:rsid w:val="00031AE9"/>
    <w:rsid w:val="0003274D"/>
    <w:rsid w:val="00033268"/>
    <w:rsid w:val="000A15C4"/>
    <w:rsid w:val="000F3B65"/>
    <w:rsid w:val="00141478"/>
    <w:rsid w:val="001445BC"/>
    <w:rsid w:val="001630C7"/>
    <w:rsid w:val="001D7B70"/>
    <w:rsid w:val="00206262"/>
    <w:rsid w:val="002617A6"/>
    <w:rsid w:val="002A50C5"/>
    <w:rsid w:val="002D65C1"/>
    <w:rsid w:val="003A3707"/>
    <w:rsid w:val="003B603E"/>
    <w:rsid w:val="003F2B78"/>
    <w:rsid w:val="0049449C"/>
    <w:rsid w:val="004A1CD6"/>
    <w:rsid w:val="004E008F"/>
    <w:rsid w:val="004E3550"/>
    <w:rsid w:val="004F1560"/>
    <w:rsid w:val="00596E1D"/>
    <w:rsid w:val="005A474E"/>
    <w:rsid w:val="005C7299"/>
    <w:rsid w:val="005F5B93"/>
    <w:rsid w:val="00647898"/>
    <w:rsid w:val="00652D72"/>
    <w:rsid w:val="006568AC"/>
    <w:rsid w:val="006C301F"/>
    <w:rsid w:val="006E144F"/>
    <w:rsid w:val="00715F0A"/>
    <w:rsid w:val="007516E8"/>
    <w:rsid w:val="007608E5"/>
    <w:rsid w:val="00793109"/>
    <w:rsid w:val="008610B0"/>
    <w:rsid w:val="00891F3E"/>
    <w:rsid w:val="008D6D65"/>
    <w:rsid w:val="009F2391"/>
    <w:rsid w:val="00A4528E"/>
    <w:rsid w:val="00A715C4"/>
    <w:rsid w:val="00A97DD2"/>
    <w:rsid w:val="00AC7995"/>
    <w:rsid w:val="00AE5608"/>
    <w:rsid w:val="00B234C3"/>
    <w:rsid w:val="00B477D6"/>
    <w:rsid w:val="00B7377E"/>
    <w:rsid w:val="00C022BD"/>
    <w:rsid w:val="00C03EDA"/>
    <w:rsid w:val="00C32965"/>
    <w:rsid w:val="00CA18C3"/>
    <w:rsid w:val="00CA2AF1"/>
    <w:rsid w:val="00CA6BB8"/>
    <w:rsid w:val="00CB06BA"/>
    <w:rsid w:val="00CF180C"/>
    <w:rsid w:val="00DD5D50"/>
    <w:rsid w:val="00E21683"/>
    <w:rsid w:val="00EB2D52"/>
    <w:rsid w:val="00F80EF2"/>
    <w:rsid w:val="00F82DD9"/>
    <w:rsid w:val="00F8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3D7E8BC"/>
  <w15:docId w15:val="{E5BF69C2-5D2F-4AFB-B4AD-9EC6FD19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45BC"/>
    <w:rPr>
      <w:b/>
      <w:bCs/>
    </w:rPr>
  </w:style>
  <w:style w:type="character" w:customStyle="1" w:styleId="apple-converted-space">
    <w:name w:val="apple-converted-space"/>
    <w:basedOn w:val="a0"/>
    <w:rsid w:val="001445BC"/>
  </w:style>
  <w:style w:type="paragraph" w:styleId="a4">
    <w:name w:val="Normal (Web)"/>
    <w:basedOn w:val="a"/>
    <w:uiPriority w:val="99"/>
    <w:semiHidden/>
    <w:unhideWhenUsed/>
    <w:rsid w:val="0014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445B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F5B93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A5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50C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630C7"/>
    <w:pPr>
      <w:spacing w:after="200" w:line="276" w:lineRule="auto"/>
      <w:ind w:left="720"/>
      <w:contextualSpacing/>
    </w:pPr>
  </w:style>
  <w:style w:type="table" w:styleId="aa">
    <w:name w:val="Table Grid"/>
    <w:basedOn w:val="a1"/>
    <w:uiPriority w:val="59"/>
    <w:rsid w:val="00163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semiHidden/>
    <w:unhideWhenUsed/>
    <w:rsid w:val="001630C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1630C7"/>
    <w:rPr>
      <w:rFonts w:ascii="Calibri" w:hAnsi="Calibri" w:cs="Consolas"/>
      <w:szCs w:val="21"/>
    </w:rPr>
  </w:style>
  <w:style w:type="paragraph" w:styleId="ad">
    <w:name w:val="header"/>
    <w:basedOn w:val="a"/>
    <w:link w:val="ae"/>
    <w:uiPriority w:val="99"/>
    <w:unhideWhenUsed/>
    <w:rsid w:val="0065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52D72"/>
  </w:style>
  <w:style w:type="paragraph" w:styleId="af">
    <w:name w:val="footer"/>
    <w:basedOn w:val="a"/>
    <w:link w:val="af0"/>
    <w:uiPriority w:val="99"/>
    <w:unhideWhenUsed/>
    <w:rsid w:val="0065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52D72"/>
  </w:style>
  <w:style w:type="paragraph" w:styleId="2">
    <w:name w:val="List 2"/>
    <w:basedOn w:val="a"/>
    <w:uiPriority w:val="99"/>
    <w:semiHidden/>
    <w:unhideWhenUsed/>
    <w:rsid w:val="002617A6"/>
    <w:pPr>
      <w:ind w:left="566" w:hanging="283"/>
      <w:contextualSpacing/>
    </w:pPr>
  </w:style>
  <w:style w:type="paragraph" w:styleId="af1">
    <w:name w:val="annotation text"/>
    <w:basedOn w:val="a"/>
    <w:link w:val="af2"/>
    <w:uiPriority w:val="99"/>
    <w:semiHidden/>
    <w:unhideWhenUsed/>
    <w:rsid w:val="003B603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B603E"/>
    <w:rPr>
      <w:sz w:val="20"/>
      <w:szCs w:val="20"/>
    </w:rPr>
  </w:style>
  <w:style w:type="character" w:styleId="af3">
    <w:name w:val="annotation reference"/>
    <w:uiPriority w:val="99"/>
    <w:semiHidden/>
    <w:unhideWhenUsed/>
    <w:rsid w:val="003B60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63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4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0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3741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Концов</dc:creator>
  <cp:keywords/>
  <dc:description/>
  <cp:lastModifiedBy>Артём Концов</cp:lastModifiedBy>
  <cp:revision>4</cp:revision>
  <cp:lastPrinted>2015-01-19T12:52:00Z</cp:lastPrinted>
  <dcterms:created xsi:type="dcterms:W3CDTF">2015-04-17T08:26:00Z</dcterms:created>
  <dcterms:modified xsi:type="dcterms:W3CDTF">2015-04-17T08:33:00Z</dcterms:modified>
</cp:coreProperties>
</file>