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1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384"/>
        <w:gridCol w:w="5103"/>
      </w:tblGrid>
      <w:tr w:rsidR="001C0D5C" w:rsidRPr="00D0645A" w14:paraId="7EA9C4A8" w14:textId="77777777" w:rsidTr="009425CE">
        <w:trPr>
          <w:trHeight w:val="1230"/>
        </w:trPr>
        <w:tc>
          <w:tcPr>
            <w:tcW w:w="5070" w:type="dxa"/>
            <w:gridSpan w:val="2"/>
            <w:tcBorders>
              <w:top w:val="nil"/>
              <w:left w:val="nil"/>
              <w:bottom w:val="nil"/>
              <w:right w:val="nil"/>
            </w:tcBorders>
            <w:vAlign w:val="center"/>
            <w:hideMark/>
          </w:tcPr>
          <w:p w14:paraId="663A4F3E" w14:textId="77777777" w:rsidR="001C0D5C" w:rsidRPr="00D0645A" w:rsidRDefault="001C0D5C" w:rsidP="00D0645A">
            <w:pPr>
              <w:jc w:val="center"/>
              <w:rPr>
                <w:b/>
                <w:sz w:val="28"/>
                <w:szCs w:val="28"/>
                <w:lang w:val="en-US"/>
              </w:rPr>
            </w:pPr>
            <w:r w:rsidRPr="00D0645A">
              <w:rPr>
                <w:rFonts w:ascii="Book Antiqua" w:hAnsi="Book Antiqua" w:cs="Book Antiqua"/>
                <w:b/>
                <w:noProof/>
                <w:color w:val="943634"/>
                <w:sz w:val="44"/>
                <w:szCs w:val="44"/>
                <w:lang w:eastAsia="ru-RU"/>
              </w:rPr>
              <w:drawing>
                <wp:inline distT="0" distB="0" distL="0" distR="0" wp14:anchorId="6A00AE24" wp14:editId="37259C2E">
                  <wp:extent cx="2691638" cy="792000"/>
                  <wp:effectExtent l="0" t="0" r="0" b="8255"/>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1638" cy="792000"/>
                          </a:xfrm>
                          <a:prstGeom prst="rect">
                            <a:avLst/>
                          </a:prstGeom>
                          <a:noFill/>
                          <a:ln>
                            <a:noFill/>
                          </a:ln>
                        </pic:spPr>
                      </pic:pic>
                    </a:graphicData>
                  </a:graphic>
                </wp:inline>
              </w:drawing>
            </w:r>
          </w:p>
        </w:tc>
        <w:tc>
          <w:tcPr>
            <w:tcW w:w="5103" w:type="dxa"/>
            <w:tcBorders>
              <w:top w:val="nil"/>
              <w:left w:val="nil"/>
              <w:bottom w:val="nil"/>
              <w:right w:val="nil"/>
            </w:tcBorders>
            <w:vAlign w:val="center"/>
            <w:hideMark/>
          </w:tcPr>
          <w:p w14:paraId="65FEE526" w14:textId="77777777" w:rsidR="001C0D5C" w:rsidRPr="00D0645A" w:rsidRDefault="001C0D5C" w:rsidP="00D0645A">
            <w:pPr>
              <w:jc w:val="center"/>
              <w:rPr>
                <w:b/>
                <w:sz w:val="28"/>
                <w:szCs w:val="28"/>
              </w:rPr>
            </w:pPr>
            <w:r w:rsidRPr="00D0645A">
              <w:rPr>
                <w:rFonts w:ascii="Book Antiqua" w:hAnsi="Book Antiqua" w:cs="Vrinda"/>
                <w:b/>
                <w:noProof/>
                <w:color w:val="002F8E"/>
                <w:sz w:val="30"/>
                <w:szCs w:val="30"/>
                <w:lang w:eastAsia="ru-RU"/>
              </w:rPr>
              <w:drawing>
                <wp:inline distT="0" distB="0" distL="0" distR="0" wp14:anchorId="38E56947" wp14:editId="54049718">
                  <wp:extent cx="916135" cy="792000"/>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b="26373"/>
                          <a:stretch>
                            <a:fillRect/>
                          </a:stretch>
                        </pic:blipFill>
                        <pic:spPr bwMode="auto">
                          <a:xfrm>
                            <a:off x="0" y="0"/>
                            <a:ext cx="916135" cy="792000"/>
                          </a:xfrm>
                          <a:prstGeom prst="rect">
                            <a:avLst/>
                          </a:prstGeom>
                          <a:noFill/>
                          <a:ln>
                            <a:noFill/>
                          </a:ln>
                        </pic:spPr>
                      </pic:pic>
                    </a:graphicData>
                  </a:graphic>
                </wp:inline>
              </w:drawing>
            </w:r>
          </w:p>
        </w:tc>
      </w:tr>
      <w:tr w:rsidR="001C0D5C" w:rsidRPr="00D0645A" w14:paraId="666E22C7" w14:textId="77777777" w:rsidTr="009425CE">
        <w:trPr>
          <w:trHeight w:val="705"/>
        </w:trPr>
        <w:tc>
          <w:tcPr>
            <w:tcW w:w="5070" w:type="dxa"/>
            <w:gridSpan w:val="2"/>
            <w:tcBorders>
              <w:top w:val="nil"/>
              <w:left w:val="nil"/>
              <w:bottom w:val="single" w:sz="4" w:space="0" w:color="auto"/>
              <w:right w:val="nil"/>
            </w:tcBorders>
            <w:hideMark/>
          </w:tcPr>
          <w:p w14:paraId="51EA69C6" w14:textId="77777777" w:rsidR="001C0D5C" w:rsidRPr="00D0645A" w:rsidRDefault="001C0D5C" w:rsidP="00D0645A">
            <w:pPr>
              <w:jc w:val="center"/>
              <w:rPr>
                <w:rFonts w:ascii="Book Antiqua" w:hAnsi="Book Antiqua" w:cs="Vrinda"/>
                <w:b/>
                <w:bCs/>
                <w:color w:val="002F8E"/>
                <w:sz w:val="30"/>
                <w:szCs w:val="30"/>
              </w:rPr>
            </w:pPr>
            <w:r w:rsidRPr="00D0645A">
              <w:rPr>
                <w:rFonts w:ascii="Book Antiqua" w:hAnsi="Book Antiqua" w:cs="Vrinda"/>
                <w:b/>
                <w:bCs/>
                <w:color w:val="002F8E"/>
                <w:sz w:val="30"/>
                <w:szCs w:val="30"/>
              </w:rPr>
              <w:t>Ассоциация</w:t>
            </w:r>
          </w:p>
          <w:p w14:paraId="28E8BDCD" w14:textId="77777777" w:rsidR="001C0D5C" w:rsidRPr="00D0645A" w:rsidRDefault="001C0D5C" w:rsidP="00D0645A">
            <w:pPr>
              <w:jc w:val="center"/>
              <w:rPr>
                <w:rFonts w:ascii="Book Antiqua" w:hAnsi="Book Antiqua" w:cs="Book Antiqua"/>
                <w:b/>
                <w:bCs/>
                <w:noProof/>
                <w:color w:val="943634"/>
                <w:sz w:val="44"/>
                <w:szCs w:val="44"/>
                <w:lang w:eastAsia="ru-RU"/>
              </w:rPr>
            </w:pPr>
            <w:r w:rsidRPr="00D0645A">
              <w:rPr>
                <w:rFonts w:ascii="Book Antiqua" w:hAnsi="Book Antiqua" w:cs="Vrinda"/>
                <w:b/>
                <w:bCs/>
                <w:color w:val="002F8E"/>
                <w:sz w:val="30"/>
                <w:szCs w:val="30"/>
              </w:rPr>
              <w:t>«СРОО «Экспертный совет»</w:t>
            </w:r>
          </w:p>
        </w:tc>
        <w:tc>
          <w:tcPr>
            <w:tcW w:w="5103" w:type="dxa"/>
            <w:tcBorders>
              <w:top w:val="nil"/>
              <w:left w:val="nil"/>
              <w:bottom w:val="single" w:sz="4" w:space="0" w:color="auto"/>
              <w:right w:val="nil"/>
            </w:tcBorders>
            <w:hideMark/>
          </w:tcPr>
          <w:p w14:paraId="03C63865" w14:textId="77777777" w:rsidR="001C0D5C" w:rsidRPr="00D0645A" w:rsidRDefault="001C0D5C" w:rsidP="00D0645A">
            <w:pPr>
              <w:jc w:val="center"/>
              <w:rPr>
                <w:rFonts w:ascii="Book Antiqua" w:hAnsi="Book Antiqua" w:cs="Vrinda"/>
                <w:b/>
                <w:bCs/>
                <w:noProof/>
                <w:color w:val="002F8E"/>
                <w:sz w:val="30"/>
                <w:szCs w:val="30"/>
                <w:lang w:eastAsia="ru-RU"/>
              </w:rPr>
            </w:pPr>
            <w:r w:rsidRPr="00D0645A">
              <w:rPr>
                <w:rFonts w:ascii="Book Antiqua" w:hAnsi="Book Antiqua" w:cs="Vrinda"/>
                <w:b/>
                <w:bCs/>
                <w:color w:val="002F8E"/>
                <w:sz w:val="30"/>
                <w:szCs w:val="30"/>
              </w:rPr>
              <w:t>Союз судебных экспертов «Экспертный совет»</w:t>
            </w:r>
          </w:p>
        </w:tc>
      </w:tr>
      <w:tr w:rsidR="001C0D5C" w:rsidRPr="00D0645A" w14:paraId="69B2AC41" w14:textId="77777777" w:rsidTr="009B143D">
        <w:tblPrEx>
          <w:tblBorders>
            <w:bottom w:val="none" w:sz="0" w:space="0" w:color="auto"/>
          </w:tblBorders>
        </w:tblPrEx>
        <w:trPr>
          <w:gridAfter w:val="2"/>
          <w:wAfter w:w="6487" w:type="dxa"/>
        </w:trPr>
        <w:tc>
          <w:tcPr>
            <w:tcW w:w="3686" w:type="dxa"/>
            <w:tcBorders>
              <w:bottom w:val="single" w:sz="4" w:space="0" w:color="auto"/>
            </w:tcBorders>
          </w:tcPr>
          <w:p w14:paraId="2A390CF4" w14:textId="43690173" w:rsidR="009B143D" w:rsidRPr="00D0645A" w:rsidRDefault="001C0D5C" w:rsidP="00D0645A">
            <w:pPr>
              <w:pStyle w:val="ac"/>
              <w:spacing w:before="240"/>
              <w:rPr>
                <w:b w:val="0"/>
              </w:rPr>
            </w:pPr>
            <w:proofErr w:type="spellStart"/>
            <w:r w:rsidRPr="00D0645A">
              <w:rPr>
                <w:rFonts w:asciiTheme="minorHAnsi" w:hAnsiTheme="minorHAnsi"/>
              </w:rPr>
              <w:t>МР</w:t>
            </w:r>
            <w:r w:rsidR="00490187" w:rsidRPr="00D0645A">
              <w:rPr>
                <w:rFonts w:asciiTheme="minorHAnsi" w:hAnsiTheme="minorHAnsi"/>
              </w:rPr>
              <w:t>з</w:t>
            </w:r>
            <w:proofErr w:type="spellEnd"/>
            <w:r w:rsidRPr="00D0645A">
              <w:rPr>
                <w:rFonts w:asciiTheme="minorHAnsi" w:hAnsiTheme="minorHAnsi"/>
              </w:rPr>
              <w:t>–</w:t>
            </w:r>
            <w:proofErr w:type="gramStart"/>
            <w:r w:rsidR="00CA3EE5" w:rsidRPr="00D0645A">
              <w:rPr>
                <w:rFonts w:asciiTheme="minorHAnsi" w:hAnsiTheme="minorHAnsi"/>
              </w:rPr>
              <w:t>8</w:t>
            </w:r>
            <w:r w:rsidRPr="00D0645A">
              <w:rPr>
                <w:rFonts w:asciiTheme="minorHAnsi" w:hAnsiTheme="minorHAnsi"/>
              </w:rPr>
              <w:t>/</w:t>
            </w:r>
            <w:r w:rsidR="000157AA" w:rsidRPr="00D0645A">
              <w:rPr>
                <w:rFonts w:asciiTheme="minorHAnsi" w:hAnsiTheme="minorHAnsi"/>
              </w:rPr>
              <w:t>2</w:t>
            </w:r>
            <w:r w:rsidR="00F405DD" w:rsidRPr="00D0645A">
              <w:rPr>
                <w:rFonts w:asciiTheme="minorHAnsi" w:hAnsiTheme="minorHAnsi"/>
              </w:rPr>
              <w:t>3</w:t>
            </w:r>
            <w:r w:rsidR="00D844D0" w:rsidRPr="00D0645A">
              <w:rPr>
                <w:rFonts w:asciiTheme="minorHAnsi" w:hAnsiTheme="minorHAnsi"/>
              </w:rPr>
              <w:t>-2</w:t>
            </w:r>
            <w:proofErr w:type="gramEnd"/>
            <w:r w:rsidRPr="00D0645A">
              <w:rPr>
                <w:rFonts w:asciiTheme="minorHAnsi" w:hAnsiTheme="minorHAnsi"/>
              </w:rPr>
              <w:t xml:space="preserve"> от</w:t>
            </w:r>
            <w:r w:rsidR="000157AA" w:rsidRPr="00D0645A">
              <w:rPr>
                <w:rFonts w:asciiTheme="minorHAnsi" w:hAnsiTheme="minorHAnsi"/>
              </w:rPr>
              <w:t xml:space="preserve"> </w:t>
            </w:r>
            <w:r w:rsidR="009609BA" w:rsidRPr="00D0645A">
              <w:rPr>
                <w:rFonts w:asciiTheme="minorHAnsi" w:hAnsiTheme="minorHAnsi"/>
              </w:rPr>
              <w:t>02</w:t>
            </w:r>
            <w:r w:rsidRPr="00D0645A">
              <w:rPr>
                <w:rFonts w:asciiTheme="minorHAnsi" w:hAnsiTheme="minorHAnsi"/>
              </w:rPr>
              <w:t>.</w:t>
            </w:r>
            <w:r w:rsidR="00D844D0" w:rsidRPr="00D0645A">
              <w:rPr>
                <w:rFonts w:asciiTheme="minorHAnsi" w:hAnsiTheme="minorHAnsi"/>
              </w:rPr>
              <w:t>0</w:t>
            </w:r>
            <w:r w:rsidR="009609BA" w:rsidRPr="00D0645A">
              <w:rPr>
                <w:rFonts w:asciiTheme="minorHAnsi" w:hAnsiTheme="minorHAnsi"/>
              </w:rPr>
              <w:t>4</w:t>
            </w:r>
            <w:r w:rsidRPr="00D0645A">
              <w:rPr>
                <w:rFonts w:asciiTheme="minorHAnsi" w:hAnsiTheme="minorHAnsi"/>
              </w:rPr>
              <w:t>.20</w:t>
            </w:r>
            <w:r w:rsidR="00F335C6" w:rsidRPr="00D0645A">
              <w:rPr>
                <w:rFonts w:asciiTheme="minorHAnsi" w:hAnsiTheme="minorHAnsi"/>
              </w:rPr>
              <w:t>2</w:t>
            </w:r>
            <w:r w:rsidR="005215DE" w:rsidRPr="00D0645A">
              <w:rPr>
                <w:rFonts w:asciiTheme="minorHAnsi" w:hAnsiTheme="minorHAnsi"/>
              </w:rPr>
              <w:t>6</w:t>
            </w:r>
          </w:p>
        </w:tc>
      </w:tr>
      <w:tr w:rsidR="001C0D5C" w:rsidRPr="00D0645A" w14:paraId="083B6CB8" w14:textId="77777777" w:rsidTr="009B143D">
        <w:tblPrEx>
          <w:tblBorders>
            <w:bottom w:val="none" w:sz="0" w:space="0" w:color="auto"/>
          </w:tblBorders>
        </w:tblPrEx>
        <w:trPr>
          <w:gridAfter w:val="2"/>
          <w:wAfter w:w="6487" w:type="dxa"/>
        </w:trPr>
        <w:tc>
          <w:tcPr>
            <w:tcW w:w="3686" w:type="dxa"/>
            <w:tcBorders>
              <w:top w:val="single" w:sz="4" w:space="0" w:color="auto"/>
            </w:tcBorders>
          </w:tcPr>
          <w:p w14:paraId="06871BA0" w14:textId="77777777" w:rsidR="001C0D5C" w:rsidRPr="00D0645A" w:rsidRDefault="001C0D5C" w:rsidP="00D0645A">
            <w:pPr>
              <w:pStyle w:val="ac"/>
              <w:rPr>
                <w:b w:val="0"/>
                <w:sz w:val="16"/>
                <w:szCs w:val="16"/>
              </w:rPr>
            </w:pPr>
            <w:r w:rsidRPr="00D0645A">
              <w:rPr>
                <w:rFonts w:asciiTheme="minorHAnsi" w:hAnsiTheme="minorHAnsi"/>
                <w:b w:val="0"/>
                <w:i/>
                <w:sz w:val="16"/>
                <w:szCs w:val="16"/>
              </w:rPr>
              <w:t>реквизиты документа</w:t>
            </w:r>
          </w:p>
        </w:tc>
      </w:tr>
    </w:tbl>
    <w:p w14:paraId="6AC68D08" w14:textId="1E9BCE33" w:rsidR="001C0D5C" w:rsidRPr="00D0645A" w:rsidRDefault="001C0D5C" w:rsidP="00D0645A">
      <w:pPr>
        <w:spacing w:after="0" w:line="240" w:lineRule="auto"/>
        <w:rPr>
          <w:rFonts w:cs="Times New Roman"/>
          <w:b/>
          <w:sz w:val="24"/>
          <w:szCs w:val="24"/>
          <w:lang w:eastAsia="ru-RU"/>
        </w:rPr>
      </w:pPr>
    </w:p>
    <w:tbl>
      <w:tblPr>
        <w:tblStyle w:val="ae"/>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73"/>
      </w:tblGrid>
      <w:tr w:rsidR="001C0D5C" w:rsidRPr="00D0645A" w14:paraId="1FBFE0E3" w14:textId="77777777" w:rsidTr="001C0D5C">
        <w:trPr>
          <w:trHeight w:val="1642"/>
        </w:trPr>
        <w:tc>
          <w:tcPr>
            <w:tcW w:w="5103" w:type="dxa"/>
          </w:tcPr>
          <w:p w14:paraId="5E1D62F7" w14:textId="769B9EE9" w:rsidR="001C0D5C" w:rsidRPr="00D0645A" w:rsidRDefault="001C0D5C" w:rsidP="00D0645A">
            <w:pPr>
              <w:rPr>
                <w:rFonts w:cs="Times New Roman"/>
                <w:bCs/>
                <w:sz w:val="24"/>
                <w:szCs w:val="24"/>
                <w:lang w:eastAsia="ru-RU"/>
              </w:rPr>
            </w:pPr>
            <w:r w:rsidRPr="00D0645A">
              <w:rPr>
                <w:rFonts w:cs="Times New Roman"/>
                <w:bCs/>
                <w:sz w:val="24"/>
                <w:szCs w:val="24"/>
                <w:lang w:eastAsia="ru-RU"/>
              </w:rPr>
              <w:t>«УТВЕРЖДАЮ»</w:t>
            </w:r>
          </w:p>
          <w:p w14:paraId="286A8FB3" w14:textId="7966C4DF" w:rsidR="001C0D5C" w:rsidRPr="00D0645A" w:rsidRDefault="001C0D5C" w:rsidP="00D0645A">
            <w:pPr>
              <w:spacing w:before="120"/>
              <w:rPr>
                <w:rFonts w:cs="Times New Roman"/>
                <w:bCs/>
                <w:sz w:val="24"/>
                <w:szCs w:val="24"/>
                <w:lang w:eastAsia="ru-RU"/>
              </w:rPr>
            </w:pPr>
            <w:r w:rsidRPr="00D0645A">
              <w:rPr>
                <w:rFonts w:cs="Times New Roman"/>
                <w:bCs/>
                <w:sz w:val="24"/>
                <w:szCs w:val="24"/>
                <w:lang w:eastAsia="ru-RU"/>
              </w:rPr>
              <w:t>Первый вице-президент,</w:t>
            </w:r>
            <w:r w:rsidRPr="00D0645A">
              <w:rPr>
                <w:rFonts w:cs="Times New Roman"/>
                <w:bCs/>
                <w:sz w:val="24"/>
                <w:szCs w:val="24"/>
                <w:lang w:eastAsia="ru-RU"/>
              </w:rPr>
              <w:br/>
              <w:t>Председ</w:t>
            </w:r>
            <w:r w:rsidR="00F653FF" w:rsidRPr="00D0645A">
              <w:rPr>
                <w:rFonts w:cs="Times New Roman"/>
                <w:bCs/>
                <w:sz w:val="24"/>
                <w:szCs w:val="24"/>
                <w:lang w:eastAsia="ru-RU"/>
              </w:rPr>
              <w:t>атель Экспертного совета</w:t>
            </w:r>
            <w:r w:rsidR="005B6D91" w:rsidRPr="00D0645A">
              <w:rPr>
                <w:rFonts w:cs="Times New Roman"/>
                <w:bCs/>
                <w:sz w:val="24"/>
                <w:szCs w:val="24"/>
                <w:lang w:eastAsia="ru-RU"/>
              </w:rPr>
              <w:t>,</w:t>
            </w:r>
            <w:r w:rsidR="00F653FF" w:rsidRPr="00D0645A">
              <w:rPr>
                <w:rFonts w:cs="Times New Roman"/>
                <w:bCs/>
                <w:sz w:val="24"/>
                <w:szCs w:val="24"/>
                <w:lang w:eastAsia="ru-RU"/>
              </w:rPr>
              <w:t xml:space="preserve"> к.э.н.</w:t>
            </w:r>
          </w:p>
          <w:p w14:paraId="1B178412" w14:textId="78AB648B" w:rsidR="001C0D5C" w:rsidRPr="00D0645A" w:rsidRDefault="001C0D5C" w:rsidP="00D0645A">
            <w:pPr>
              <w:rPr>
                <w:rFonts w:cs="Times New Roman"/>
                <w:bCs/>
                <w:sz w:val="24"/>
                <w:szCs w:val="24"/>
                <w:lang w:eastAsia="ru-RU"/>
              </w:rPr>
            </w:pPr>
          </w:p>
          <w:p w14:paraId="7032694C" w14:textId="6DC70FEF" w:rsidR="001C0D5C" w:rsidRPr="00D0645A" w:rsidRDefault="001C0D5C" w:rsidP="00D0645A">
            <w:pPr>
              <w:rPr>
                <w:rFonts w:cs="Times New Roman"/>
                <w:bCs/>
                <w:sz w:val="24"/>
                <w:szCs w:val="24"/>
                <w:lang w:eastAsia="ru-RU"/>
              </w:rPr>
            </w:pPr>
            <w:r w:rsidRPr="00D0645A">
              <w:rPr>
                <w:rFonts w:cs="Times New Roman"/>
                <w:bCs/>
                <w:sz w:val="24"/>
                <w:szCs w:val="24"/>
                <w:lang w:eastAsia="ru-RU"/>
              </w:rPr>
              <w:t>_____________________ /</w:t>
            </w:r>
            <w:proofErr w:type="gramStart"/>
            <w:r w:rsidRPr="00D0645A">
              <w:rPr>
                <w:rFonts w:cs="Times New Roman"/>
                <w:bCs/>
                <w:sz w:val="24"/>
                <w:szCs w:val="24"/>
                <w:lang w:eastAsia="ru-RU"/>
              </w:rPr>
              <w:t>В.И.</w:t>
            </w:r>
            <w:proofErr w:type="gramEnd"/>
            <w:r w:rsidRPr="00D0645A">
              <w:rPr>
                <w:rFonts w:cs="Times New Roman"/>
                <w:bCs/>
                <w:sz w:val="24"/>
                <w:szCs w:val="24"/>
                <w:lang w:eastAsia="ru-RU"/>
              </w:rPr>
              <w:t xml:space="preserve"> Лебединский/</w:t>
            </w:r>
          </w:p>
        </w:tc>
        <w:tc>
          <w:tcPr>
            <w:tcW w:w="4973" w:type="dxa"/>
          </w:tcPr>
          <w:p w14:paraId="58FE82BE" w14:textId="7E826270" w:rsidR="001C0D5C" w:rsidRPr="00D0645A" w:rsidRDefault="001C0D5C" w:rsidP="00D0645A">
            <w:pPr>
              <w:pStyle w:val="ac"/>
              <w:jc w:val="right"/>
              <w:rPr>
                <w:rFonts w:asciiTheme="minorHAnsi" w:hAnsiTheme="minorHAnsi" w:cstheme="majorBidi"/>
                <w:b w:val="0"/>
              </w:rPr>
            </w:pPr>
            <w:r w:rsidRPr="00D0645A">
              <w:rPr>
                <w:rFonts w:asciiTheme="minorHAnsi" w:hAnsiTheme="minorHAnsi"/>
                <w:b w:val="0"/>
              </w:rPr>
              <w:t>«УТВЕРЖДАЮ»</w:t>
            </w:r>
          </w:p>
          <w:p w14:paraId="36EA8FDC" w14:textId="53B708B7" w:rsidR="001C0D5C" w:rsidRPr="00D0645A" w:rsidRDefault="00441C47" w:rsidP="00D0645A">
            <w:pPr>
              <w:spacing w:before="120"/>
              <w:jc w:val="right"/>
              <w:rPr>
                <w:rFonts w:cs="Times New Roman"/>
                <w:bCs/>
                <w:sz w:val="24"/>
                <w:szCs w:val="24"/>
                <w:lang w:eastAsia="ru-RU"/>
              </w:rPr>
            </w:pPr>
            <w:r w:rsidRPr="00D0645A">
              <w:rPr>
                <w:rFonts w:cs="Times New Roman"/>
                <w:bCs/>
                <w:sz w:val="24"/>
                <w:szCs w:val="24"/>
                <w:lang w:eastAsia="ru-RU"/>
              </w:rPr>
              <w:t xml:space="preserve">Генеральный </w:t>
            </w:r>
            <w:r w:rsidR="001C0D5C" w:rsidRPr="00D0645A">
              <w:rPr>
                <w:rFonts w:cs="Times New Roman"/>
                <w:bCs/>
                <w:sz w:val="24"/>
                <w:szCs w:val="24"/>
                <w:lang w:eastAsia="ru-RU"/>
              </w:rPr>
              <w:t>директор,</w:t>
            </w:r>
          </w:p>
          <w:p w14:paraId="5F9DC6C8" w14:textId="4B2C533F" w:rsidR="001C0D5C" w:rsidRPr="00D0645A" w:rsidRDefault="00490187" w:rsidP="00D0645A">
            <w:pPr>
              <w:jc w:val="right"/>
              <w:rPr>
                <w:rFonts w:cs="Times New Roman"/>
                <w:bCs/>
                <w:sz w:val="24"/>
                <w:szCs w:val="24"/>
                <w:lang w:eastAsia="ru-RU"/>
              </w:rPr>
            </w:pPr>
            <w:r w:rsidRPr="00D0645A">
              <w:rPr>
                <w:rFonts w:cs="Times New Roman"/>
                <w:bCs/>
                <w:sz w:val="24"/>
                <w:szCs w:val="24"/>
                <w:lang w:eastAsia="ru-RU"/>
              </w:rPr>
              <w:t>Председатель</w:t>
            </w:r>
            <w:r w:rsidR="001C0D5C" w:rsidRPr="00D0645A">
              <w:rPr>
                <w:rFonts w:cs="Times New Roman"/>
                <w:bCs/>
                <w:sz w:val="24"/>
                <w:szCs w:val="24"/>
                <w:lang w:eastAsia="ru-RU"/>
              </w:rPr>
              <w:t xml:space="preserve"> Методического совета, к.э.н.</w:t>
            </w:r>
          </w:p>
          <w:p w14:paraId="42DFDB05" w14:textId="529C8422" w:rsidR="001C0D5C" w:rsidRPr="00D0645A" w:rsidRDefault="001C0D5C" w:rsidP="00D0645A">
            <w:pPr>
              <w:rPr>
                <w:rFonts w:cs="Times New Roman"/>
                <w:bCs/>
                <w:sz w:val="24"/>
                <w:szCs w:val="24"/>
                <w:lang w:eastAsia="ru-RU"/>
              </w:rPr>
            </w:pPr>
          </w:p>
          <w:p w14:paraId="20E22C08" w14:textId="1813A86C" w:rsidR="001C0D5C" w:rsidRPr="00D0645A" w:rsidRDefault="001C0D5C" w:rsidP="00D0645A">
            <w:pPr>
              <w:jc w:val="right"/>
              <w:rPr>
                <w:sz w:val="24"/>
                <w:szCs w:val="24"/>
              </w:rPr>
            </w:pPr>
            <w:r w:rsidRPr="00D0645A">
              <w:rPr>
                <w:rFonts w:cs="Times New Roman"/>
                <w:bCs/>
                <w:sz w:val="24"/>
                <w:szCs w:val="24"/>
                <w:lang w:eastAsia="ru-RU"/>
              </w:rPr>
              <w:t>______________________ /</w:t>
            </w:r>
            <w:proofErr w:type="gramStart"/>
            <w:r w:rsidRPr="00D0645A">
              <w:rPr>
                <w:rFonts w:cs="Times New Roman"/>
                <w:bCs/>
                <w:sz w:val="24"/>
                <w:szCs w:val="24"/>
                <w:lang w:eastAsia="ru-RU"/>
              </w:rPr>
              <w:t>М.О.</w:t>
            </w:r>
            <w:proofErr w:type="gramEnd"/>
            <w:r w:rsidRPr="00D0645A">
              <w:rPr>
                <w:rFonts w:cs="Times New Roman"/>
                <w:bCs/>
                <w:sz w:val="24"/>
                <w:szCs w:val="24"/>
                <w:lang w:eastAsia="ru-RU"/>
              </w:rPr>
              <w:t xml:space="preserve"> Ильин/</w:t>
            </w:r>
          </w:p>
        </w:tc>
      </w:tr>
    </w:tbl>
    <w:p w14:paraId="213D6002" w14:textId="0A851D1C" w:rsidR="00E6584C" w:rsidRPr="00D0645A" w:rsidRDefault="00E6584C" w:rsidP="00D0645A">
      <w:pPr>
        <w:spacing w:before="360" w:after="0" w:line="240" w:lineRule="auto"/>
        <w:jc w:val="center"/>
        <w:rPr>
          <w:b/>
          <w:sz w:val="28"/>
          <w:szCs w:val="28"/>
        </w:rPr>
      </w:pPr>
      <w:r w:rsidRPr="00D0645A">
        <w:rPr>
          <w:b/>
          <w:sz w:val="28"/>
          <w:szCs w:val="28"/>
        </w:rPr>
        <w:t>МЕТОДИЧЕСКИЕ РАЗЪЯСНЕНИЯ</w:t>
      </w:r>
    </w:p>
    <w:p w14:paraId="4A98F375" w14:textId="5B5712D4" w:rsidR="002F57C9" w:rsidRPr="00D0645A" w:rsidRDefault="00E6584C" w:rsidP="00D0645A">
      <w:pPr>
        <w:spacing w:after="0" w:line="240" w:lineRule="auto"/>
        <w:ind w:left="-142" w:right="-144"/>
        <w:jc w:val="center"/>
        <w:rPr>
          <w:b/>
          <w:sz w:val="24"/>
          <w:szCs w:val="24"/>
        </w:rPr>
      </w:pPr>
      <w:r w:rsidRPr="00D0645A">
        <w:rPr>
          <w:b/>
          <w:sz w:val="24"/>
          <w:szCs w:val="24"/>
        </w:rPr>
        <w:t xml:space="preserve">по </w:t>
      </w:r>
      <w:r w:rsidR="0063227F" w:rsidRPr="00D0645A">
        <w:rPr>
          <w:b/>
          <w:sz w:val="24"/>
          <w:szCs w:val="24"/>
        </w:rPr>
        <w:t>определению экономического обесценения электросетевого имущества</w:t>
      </w:r>
    </w:p>
    <w:p w14:paraId="7F9769D4" w14:textId="718D3CC9" w:rsidR="0063227F" w:rsidRPr="00D0645A" w:rsidRDefault="0063227F" w:rsidP="00D0645A">
      <w:pPr>
        <w:pStyle w:val="a4"/>
        <w:numPr>
          <w:ilvl w:val="0"/>
          <w:numId w:val="7"/>
        </w:numPr>
        <w:tabs>
          <w:tab w:val="left" w:pos="0"/>
          <w:tab w:val="left" w:pos="1134"/>
        </w:tabs>
        <w:spacing w:before="120" w:after="0" w:line="240" w:lineRule="auto"/>
        <w:ind w:left="0" w:firstLine="703"/>
        <w:contextualSpacing w:val="0"/>
        <w:jc w:val="both"/>
        <w:rPr>
          <w:sz w:val="24"/>
          <w:szCs w:val="24"/>
        </w:rPr>
      </w:pPr>
      <w:bookmarkStart w:id="0" w:name="_Hlk508534460"/>
      <w:r w:rsidRPr="00D0645A">
        <w:rPr>
          <w:sz w:val="24"/>
          <w:szCs w:val="24"/>
        </w:rPr>
        <w:t>Методические разъяснения (</w:t>
      </w:r>
      <w:proofErr w:type="spellStart"/>
      <w:r w:rsidRPr="00D0645A">
        <w:rPr>
          <w:sz w:val="24"/>
          <w:szCs w:val="24"/>
        </w:rPr>
        <w:t>МРз</w:t>
      </w:r>
      <w:proofErr w:type="spellEnd"/>
      <w:r w:rsidRPr="00D0645A">
        <w:rPr>
          <w:sz w:val="24"/>
          <w:szCs w:val="24"/>
        </w:rPr>
        <w:t xml:space="preserve">) носят </w:t>
      </w:r>
      <w:r w:rsidR="00441C47" w:rsidRPr="00D0645A">
        <w:rPr>
          <w:sz w:val="24"/>
          <w:szCs w:val="24"/>
        </w:rPr>
        <w:t xml:space="preserve">рекомендательный </w:t>
      </w:r>
      <w:r w:rsidRPr="00D0645A">
        <w:rPr>
          <w:sz w:val="24"/>
          <w:szCs w:val="24"/>
        </w:rPr>
        <w:t>характер и</w:t>
      </w:r>
      <w:r w:rsidR="007F2177" w:rsidRPr="00D0645A">
        <w:rPr>
          <w:sz w:val="24"/>
          <w:szCs w:val="24"/>
        </w:rPr>
        <w:t> </w:t>
      </w:r>
      <w:r w:rsidRPr="00D0645A">
        <w:rPr>
          <w:sz w:val="24"/>
          <w:szCs w:val="24"/>
        </w:rPr>
        <w:t>предназначены для подготовки отчетов об оценке, заключений эксперта по результатам судебной оценочной экспертизы (экспертизы на установление стоимости)</w:t>
      </w:r>
      <w:r w:rsidRPr="00D0645A">
        <w:rPr>
          <w:sz w:val="24"/>
          <w:szCs w:val="24"/>
          <w:vertAlign w:val="superscript"/>
        </w:rPr>
        <w:footnoteReference w:id="1"/>
      </w:r>
      <w:r w:rsidRPr="00D0645A">
        <w:rPr>
          <w:sz w:val="24"/>
          <w:szCs w:val="24"/>
        </w:rPr>
        <w:t>, заключений специалиста, а также рецензий на заключения.</w:t>
      </w:r>
      <w:r w:rsidR="00E17803" w:rsidRPr="00D0645A">
        <w:rPr>
          <w:sz w:val="24"/>
          <w:szCs w:val="24"/>
        </w:rPr>
        <w:t xml:space="preserve"> </w:t>
      </w:r>
      <w:proofErr w:type="spellStart"/>
      <w:r w:rsidR="00E17803" w:rsidRPr="00D0645A">
        <w:rPr>
          <w:sz w:val="24"/>
          <w:szCs w:val="24"/>
        </w:rPr>
        <w:t>МРз</w:t>
      </w:r>
      <w:proofErr w:type="spellEnd"/>
      <w:r w:rsidR="00E17803" w:rsidRPr="00D0645A">
        <w:rPr>
          <w:sz w:val="24"/>
          <w:szCs w:val="24"/>
        </w:rPr>
        <w:t xml:space="preserve"> развивают положения [</w:t>
      </w:r>
      <w:r w:rsidR="00C10B7E" w:rsidRPr="00D0645A">
        <w:rPr>
          <w:sz w:val="24"/>
          <w:szCs w:val="24"/>
        </w:rPr>
        <w:t>7</w:t>
      </w:r>
      <w:r w:rsidR="00E17803" w:rsidRPr="00D0645A">
        <w:rPr>
          <w:sz w:val="24"/>
          <w:szCs w:val="24"/>
        </w:rPr>
        <w:t>] по результатам их практической апробации.</w:t>
      </w:r>
    </w:p>
    <w:p w14:paraId="6C911704" w14:textId="483436C3" w:rsidR="000224E8" w:rsidRPr="00D0645A" w:rsidRDefault="000224E8" w:rsidP="00D0645A">
      <w:pPr>
        <w:spacing w:before="120" w:after="0"/>
        <w:ind w:firstLine="703"/>
        <w:jc w:val="both"/>
      </w:pPr>
      <w:r w:rsidRPr="00D0645A">
        <w:rPr>
          <w:b/>
          <w:bCs/>
          <w:sz w:val="24"/>
        </w:rPr>
        <w:t xml:space="preserve">2. </w:t>
      </w:r>
      <w:r w:rsidR="0063227F" w:rsidRPr="00D0645A">
        <w:rPr>
          <w:sz w:val="24"/>
        </w:rPr>
        <w:t>Пунктом 33 ФСО V [</w:t>
      </w:r>
      <w:r w:rsidR="00C10B7E" w:rsidRPr="00D0645A">
        <w:rPr>
          <w:sz w:val="24"/>
        </w:rPr>
        <w:t>3</w:t>
      </w:r>
      <w:r w:rsidR="0063227F" w:rsidRPr="00D0645A">
        <w:rPr>
          <w:sz w:val="24"/>
        </w:rPr>
        <w:t xml:space="preserve">] установлено, что </w:t>
      </w:r>
      <w:r w:rsidR="0063227F" w:rsidRPr="00D0645A">
        <w:rPr>
          <w:b/>
          <w:bCs/>
          <w:sz w:val="24"/>
        </w:rPr>
        <w:t xml:space="preserve">экономическое </w:t>
      </w:r>
      <w:r w:rsidR="00C10719" w:rsidRPr="00D0645A">
        <w:rPr>
          <w:b/>
          <w:bCs/>
          <w:sz w:val="24"/>
        </w:rPr>
        <w:t xml:space="preserve">(внешнее) </w:t>
      </w:r>
      <w:r w:rsidR="00595FB9" w:rsidRPr="00D0645A">
        <w:rPr>
          <w:b/>
          <w:bCs/>
          <w:sz w:val="24"/>
        </w:rPr>
        <w:t>обесценение</w:t>
      </w:r>
      <w:r w:rsidR="00BC088F" w:rsidRPr="00D0645A">
        <w:rPr>
          <w:b/>
          <w:bCs/>
          <w:sz w:val="24"/>
        </w:rPr>
        <w:br/>
      </w:r>
      <w:r w:rsidR="0063227F" w:rsidRPr="00D0645A">
        <w:rPr>
          <w:sz w:val="24"/>
        </w:rPr>
        <w:t>(износ, устаревание) представляет собой снижение стоимости объекта, вызванное факторами, внешними по отношению к объекту, экономическими и (или) локальными факторами,</w:t>
      </w:r>
      <w:r w:rsidR="00BC088F" w:rsidRPr="00D0645A">
        <w:rPr>
          <w:sz w:val="24"/>
        </w:rPr>
        <w:br/>
      </w:r>
      <w:r w:rsidR="0063227F" w:rsidRPr="00D0645A">
        <w:rPr>
          <w:sz w:val="24"/>
        </w:rPr>
        <w:t>в частности: избыток предложения подобных объектов на рынке, снижение спроса</w:t>
      </w:r>
      <w:r w:rsidR="007F2177" w:rsidRPr="00D0645A">
        <w:rPr>
          <w:sz w:val="24"/>
        </w:rPr>
        <w:br/>
      </w:r>
      <w:r w:rsidR="0063227F" w:rsidRPr="00D0645A">
        <w:rPr>
          <w:sz w:val="24"/>
        </w:rPr>
        <w:t>на производимую с использованием объекта продукцию, рост издержек производства, неблагоприятное влияние изменений факторов, характеризующих окружение объекта недвижимости</w:t>
      </w:r>
      <w:r w:rsidR="00671FBF" w:rsidRPr="00D0645A">
        <w:rPr>
          <w:sz w:val="24"/>
        </w:rPr>
        <w:t xml:space="preserve">, </w:t>
      </w:r>
      <w:r w:rsidR="00671FBF" w:rsidRPr="00D0645A">
        <w:t>тарифное регулирование, отраслевая переориентация, законодательные ограничения, сложности с транспортировкой и т. п.</w:t>
      </w:r>
      <w:r w:rsidR="0063227F" w:rsidRPr="00D0645A">
        <w:rPr>
          <w:sz w:val="24"/>
        </w:rPr>
        <w:t>. Действие данного вида обесценения может быть временным или постоянным.</w:t>
      </w:r>
    </w:p>
    <w:p w14:paraId="4824E066" w14:textId="195E5888" w:rsidR="00E93564" w:rsidRPr="00D0645A" w:rsidRDefault="0063227F" w:rsidP="00D0645A">
      <w:pPr>
        <w:spacing w:before="120" w:after="0" w:line="240" w:lineRule="auto"/>
        <w:ind w:firstLine="703"/>
        <w:jc w:val="both"/>
        <w:rPr>
          <w:sz w:val="24"/>
        </w:rPr>
      </w:pPr>
      <w:r w:rsidRPr="00D0645A">
        <w:rPr>
          <w:b/>
          <w:bCs/>
          <w:sz w:val="24"/>
        </w:rPr>
        <w:t>3.</w:t>
      </w:r>
      <w:r w:rsidRPr="00D0645A">
        <w:rPr>
          <w:sz w:val="24"/>
        </w:rPr>
        <w:t xml:space="preserve"> </w:t>
      </w:r>
      <w:r w:rsidRPr="00D0645A">
        <w:rPr>
          <w:b/>
          <w:bCs/>
          <w:sz w:val="24"/>
        </w:rPr>
        <w:t>Электросетевое имущество</w:t>
      </w:r>
      <w:r w:rsidR="007F2177" w:rsidRPr="00D0645A">
        <w:rPr>
          <w:rStyle w:val="aa"/>
          <w:sz w:val="24"/>
        </w:rPr>
        <w:footnoteReference w:id="2"/>
      </w:r>
      <w:r w:rsidRPr="00D0645A">
        <w:rPr>
          <w:sz w:val="24"/>
        </w:rPr>
        <w:t>, как правило, имеет явно выраженный признак экономического обесценения – тарифное регулирование</w:t>
      </w:r>
      <w:r w:rsidR="00E93564" w:rsidRPr="00D0645A">
        <w:rPr>
          <w:sz w:val="24"/>
        </w:rPr>
        <w:t xml:space="preserve">, в рамках которого </w:t>
      </w:r>
      <w:r w:rsidRPr="00D0645A">
        <w:rPr>
          <w:sz w:val="24"/>
        </w:rPr>
        <w:t xml:space="preserve">предельный размер тарифов </w:t>
      </w:r>
      <w:r w:rsidR="00E93564" w:rsidRPr="00D0645A">
        <w:rPr>
          <w:sz w:val="24"/>
        </w:rPr>
        <w:t>з</w:t>
      </w:r>
      <w:r w:rsidRPr="00D0645A">
        <w:rPr>
          <w:sz w:val="24"/>
        </w:rPr>
        <w:t>а использование такого имущества</w:t>
      </w:r>
      <w:r w:rsidR="00E93564" w:rsidRPr="00D0645A">
        <w:rPr>
          <w:sz w:val="24"/>
        </w:rPr>
        <w:t xml:space="preserve"> </w:t>
      </w:r>
      <w:r w:rsidR="00DA4903" w:rsidRPr="00D0645A">
        <w:rPr>
          <w:sz w:val="24"/>
        </w:rPr>
        <w:t xml:space="preserve">(доходов от эксплуатации имущества) </w:t>
      </w:r>
      <w:r w:rsidR="00E93564" w:rsidRPr="00D0645A">
        <w:rPr>
          <w:sz w:val="24"/>
        </w:rPr>
        <w:t>нормативно ограничен</w:t>
      </w:r>
      <w:r w:rsidR="000D1244" w:rsidRPr="00D0645A">
        <w:rPr>
          <w:sz w:val="24"/>
        </w:rPr>
        <w:t xml:space="preserve"> и </w:t>
      </w:r>
      <w:r w:rsidR="00C10B7E" w:rsidRPr="00D0645A">
        <w:rPr>
          <w:sz w:val="24"/>
        </w:rPr>
        <w:t xml:space="preserve">зачастую </w:t>
      </w:r>
      <w:r w:rsidR="000D1244" w:rsidRPr="00D0645A">
        <w:rPr>
          <w:sz w:val="24"/>
        </w:rPr>
        <w:t>не обеспечива</w:t>
      </w:r>
      <w:r w:rsidR="00A26DCE" w:rsidRPr="00D0645A">
        <w:rPr>
          <w:sz w:val="24"/>
        </w:rPr>
        <w:t>е</w:t>
      </w:r>
      <w:r w:rsidR="000D1244" w:rsidRPr="00D0645A">
        <w:rPr>
          <w:sz w:val="24"/>
        </w:rPr>
        <w:t>т возврат капитала и</w:t>
      </w:r>
      <w:r w:rsidR="00C10B7E" w:rsidRPr="00D0645A">
        <w:rPr>
          <w:sz w:val="24"/>
        </w:rPr>
        <w:t>/или</w:t>
      </w:r>
      <w:r w:rsidR="000D1244" w:rsidRPr="00D0645A">
        <w:rPr>
          <w:sz w:val="24"/>
        </w:rPr>
        <w:t xml:space="preserve"> отдачу (доход) на капитал</w:t>
      </w:r>
      <w:r w:rsidR="00E93564" w:rsidRPr="00D0645A">
        <w:rPr>
          <w:sz w:val="24"/>
        </w:rPr>
        <w:t>.</w:t>
      </w:r>
    </w:p>
    <w:p w14:paraId="51FEAFC1" w14:textId="53771918" w:rsidR="00C10B7E" w:rsidRPr="00D0645A" w:rsidRDefault="00C10B7E" w:rsidP="00D0645A">
      <w:pPr>
        <w:spacing w:after="0" w:line="240" w:lineRule="auto"/>
        <w:ind w:firstLine="703"/>
        <w:jc w:val="both"/>
        <w:rPr>
          <w:sz w:val="24"/>
        </w:rPr>
      </w:pPr>
      <w:r w:rsidRPr="00D0645A">
        <w:rPr>
          <w:sz w:val="24"/>
        </w:rPr>
        <w:t xml:space="preserve">На практике электросетевое имущество может создаваться </w:t>
      </w:r>
      <w:r w:rsidR="009609BA" w:rsidRPr="00D0645A">
        <w:rPr>
          <w:sz w:val="24"/>
        </w:rPr>
        <w:t xml:space="preserve">/ использоваться </w:t>
      </w:r>
      <w:r w:rsidRPr="00D0645A">
        <w:rPr>
          <w:sz w:val="24"/>
        </w:rPr>
        <w:t xml:space="preserve">в рамках деятельности, которая изначально не предполагает возврат капитала и отдачу на капитал такого имущества. Например, для электроснабжения небольшого населенного пункта в условиях отсутствия альтернативы или для обеспечения обороноспособности страны. В указанных примерах решение о создании / </w:t>
      </w:r>
      <w:r w:rsidR="009609BA" w:rsidRPr="00D0645A">
        <w:rPr>
          <w:sz w:val="24"/>
        </w:rPr>
        <w:t>использовании</w:t>
      </w:r>
      <w:r w:rsidRPr="00D0645A">
        <w:rPr>
          <w:sz w:val="24"/>
        </w:rPr>
        <w:t xml:space="preserve"> имущества принимается на основе неэкономических критериев эффективности (выполнение социальных обязательств и </w:t>
      </w:r>
      <w:proofErr w:type="gramStart"/>
      <w:r w:rsidRPr="00D0645A">
        <w:rPr>
          <w:sz w:val="24"/>
        </w:rPr>
        <w:t>т.д.</w:t>
      </w:r>
      <w:proofErr w:type="gramEnd"/>
      <w:r w:rsidRPr="00D0645A">
        <w:rPr>
          <w:sz w:val="24"/>
        </w:rPr>
        <w:t>). Подобные критерии не подлежат учету при определении стоимости в соответствии с положениями ст. 3 Закона об оценке [2].</w:t>
      </w:r>
    </w:p>
    <w:p w14:paraId="1003AF55" w14:textId="1B0A96B2" w:rsidR="00E93564" w:rsidRPr="00D0645A" w:rsidRDefault="0063227F" w:rsidP="00D0645A">
      <w:pPr>
        <w:spacing w:before="120" w:after="0" w:line="240" w:lineRule="auto"/>
        <w:ind w:firstLine="703"/>
        <w:jc w:val="both"/>
        <w:rPr>
          <w:sz w:val="24"/>
        </w:rPr>
      </w:pPr>
      <w:r w:rsidRPr="00D0645A">
        <w:rPr>
          <w:b/>
          <w:bCs/>
          <w:sz w:val="24"/>
        </w:rPr>
        <w:lastRenderedPageBreak/>
        <w:t>4.</w:t>
      </w:r>
      <w:r w:rsidRPr="00D0645A">
        <w:rPr>
          <w:sz w:val="24"/>
        </w:rPr>
        <w:t xml:space="preserve"> </w:t>
      </w:r>
      <w:r w:rsidR="00E93564" w:rsidRPr="00D0645A">
        <w:rPr>
          <w:b/>
          <w:bCs/>
          <w:sz w:val="24"/>
        </w:rPr>
        <w:t>Основными методами</w:t>
      </w:r>
      <w:r w:rsidR="00E93564" w:rsidRPr="00D0645A">
        <w:rPr>
          <w:sz w:val="24"/>
        </w:rPr>
        <w:t xml:space="preserve"> расчетного о</w:t>
      </w:r>
      <w:r w:rsidR="007F2177" w:rsidRPr="00D0645A">
        <w:rPr>
          <w:sz w:val="24"/>
        </w:rPr>
        <w:t xml:space="preserve">боснования </w:t>
      </w:r>
      <w:r w:rsidR="00E93564" w:rsidRPr="00D0645A">
        <w:rPr>
          <w:sz w:val="24"/>
        </w:rPr>
        <w:t xml:space="preserve">величины </w:t>
      </w:r>
      <w:r w:rsidR="00E6160C" w:rsidRPr="00D0645A">
        <w:rPr>
          <w:sz w:val="24"/>
        </w:rPr>
        <w:t>экономического</w:t>
      </w:r>
      <w:r w:rsidR="00C10719" w:rsidRPr="00D0645A">
        <w:rPr>
          <w:sz w:val="24"/>
        </w:rPr>
        <w:t xml:space="preserve"> (внешнего)</w:t>
      </w:r>
      <w:r w:rsidR="00E6160C" w:rsidRPr="00D0645A">
        <w:rPr>
          <w:sz w:val="24"/>
        </w:rPr>
        <w:t xml:space="preserve"> </w:t>
      </w:r>
      <w:r w:rsidR="00E93564" w:rsidRPr="00D0645A">
        <w:rPr>
          <w:sz w:val="24"/>
        </w:rPr>
        <w:t>обесценения являются:</w:t>
      </w:r>
    </w:p>
    <w:p w14:paraId="277009B1" w14:textId="75B0875D" w:rsidR="00E17803" w:rsidRPr="00D0645A" w:rsidRDefault="00E93564" w:rsidP="00D0645A">
      <w:pPr>
        <w:spacing w:before="60" w:after="0" w:line="240" w:lineRule="auto"/>
        <w:ind w:firstLine="703"/>
        <w:jc w:val="both"/>
        <w:rPr>
          <w:rFonts w:eastAsiaTheme="minorEastAsia"/>
        </w:rPr>
      </w:pPr>
      <w:r w:rsidRPr="00D0645A">
        <w:rPr>
          <w:b/>
          <w:bCs/>
          <w:sz w:val="24"/>
        </w:rPr>
        <w:t>4.1.</w:t>
      </w:r>
      <w:r w:rsidRPr="00D0645A">
        <w:rPr>
          <w:sz w:val="24"/>
        </w:rPr>
        <w:t xml:space="preserve"> </w:t>
      </w:r>
      <w:r w:rsidR="007F2177" w:rsidRPr="00D0645A">
        <w:rPr>
          <w:sz w:val="24"/>
        </w:rPr>
        <w:t xml:space="preserve">Сравнение стоимости имущества, полученной </w:t>
      </w:r>
      <w:r w:rsidR="00C10719" w:rsidRPr="00D0645A">
        <w:rPr>
          <w:sz w:val="24"/>
        </w:rPr>
        <w:t xml:space="preserve">затратным подходом </w:t>
      </w:r>
      <w:r w:rsidR="007F2177" w:rsidRPr="00D0645A">
        <w:rPr>
          <w:sz w:val="24"/>
        </w:rPr>
        <w:t>к оценке</w:t>
      </w:r>
      <w:r w:rsidR="00C10B7E" w:rsidRPr="00D0645A">
        <w:rPr>
          <w:sz w:val="24"/>
        </w:rPr>
        <w:br/>
      </w:r>
      <w:r w:rsidR="00A31670" w:rsidRPr="00D0645A">
        <w:rPr>
          <w:sz w:val="24"/>
        </w:rPr>
        <w:t xml:space="preserve">(раздел </w:t>
      </w:r>
      <w:r w:rsidR="00A31670" w:rsidRPr="00D0645A">
        <w:rPr>
          <w:sz w:val="24"/>
          <w:lang w:val="en-US"/>
        </w:rPr>
        <w:t>IV</w:t>
      </w:r>
      <w:r w:rsidR="00A31670" w:rsidRPr="00D0645A">
        <w:rPr>
          <w:sz w:val="24"/>
        </w:rPr>
        <w:t xml:space="preserve"> ФСО </w:t>
      </w:r>
      <w:r w:rsidR="00A31670" w:rsidRPr="00D0645A">
        <w:rPr>
          <w:sz w:val="24"/>
          <w:lang w:val="en-US"/>
        </w:rPr>
        <w:t>V</w:t>
      </w:r>
      <w:r w:rsidR="00A31670" w:rsidRPr="00D0645A">
        <w:rPr>
          <w:sz w:val="24"/>
        </w:rPr>
        <w:t xml:space="preserve">) </w:t>
      </w:r>
      <w:r w:rsidR="007F2177" w:rsidRPr="00D0645A">
        <w:rPr>
          <w:sz w:val="24"/>
        </w:rPr>
        <w:t xml:space="preserve">без учета </w:t>
      </w:r>
      <w:r w:rsidR="00E6160C" w:rsidRPr="00D0645A">
        <w:rPr>
          <w:sz w:val="24"/>
        </w:rPr>
        <w:t xml:space="preserve">экономического </w:t>
      </w:r>
      <w:r w:rsidR="007F2177" w:rsidRPr="00D0645A">
        <w:rPr>
          <w:sz w:val="24"/>
        </w:rPr>
        <w:t>обесценения, и стоимости данного имущества, полученной доходн</w:t>
      </w:r>
      <w:r w:rsidR="00C10719" w:rsidRPr="00D0645A">
        <w:rPr>
          <w:sz w:val="24"/>
        </w:rPr>
        <w:t>ым</w:t>
      </w:r>
      <w:r w:rsidR="007F2177" w:rsidRPr="00D0645A">
        <w:rPr>
          <w:sz w:val="24"/>
        </w:rPr>
        <w:t xml:space="preserve"> </w:t>
      </w:r>
      <w:r w:rsidR="00C10719" w:rsidRPr="00D0645A">
        <w:rPr>
          <w:sz w:val="24"/>
        </w:rPr>
        <w:t xml:space="preserve">подходом </w:t>
      </w:r>
      <w:r w:rsidR="007F2177" w:rsidRPr="00D0645A">
        <w:rPr>
          <w:sz w:val="24"/>
        </w:rPr>
        <w:t>к оценке</w:t>
      </w:r>
      <w:r w:rsidR="00A31670" w:rsidRPr="00D0645A">
        <w:rPr>
          <w:sz w:val="24"/>
        </w:rPr>
        <w:t xml:space="preserve"> (раздел </w:t>
      </w:r>
      <w:r w:rsidR="00A31670" w:rsidRPr="00D0645A">
        <w:rPr>
          <w:sz w:val="24"/>
          <w:lang w:val="en-US"/>
        </w:rPr>
        <w:t>III</w:t>
      </w:r>
      <w:r w:rsidR="00A31670" w:rsidRPr="00D0645A">
        <w:rPr>
          <w:sz w:val="24"/>
        </w:rPr>
        <w:t xml:space="preserve"> ФСО </w:t>
      </w:r>
      <w:r w:rsidR="00A31670" w:rsidRPr="00D0645A">
        <w:rPr>
          <w:sz w:val="24"/>
          <w:lang w:val="en-US"/>
        </w:rPr>
        <w:t>V</w:t>
      </w:r>
      <w:r w:rsidR="00A31670" w:rsidRPr="00D0645A">
        <w:rPr>
          <w:sz w:val="24"/>
        </w:rPr>
        <w:t>)</w:t>
      </w:r>
      <w:r w:rsidR="007E3A99" w:rsidRPr="00D0645A">
        <w:rPr>
          <w:sz w:val="24"/>
        </w:rPr>
        <w:t>:</w:t>
      </w:r>
    </w:p>
    <w:p w14:paraId="275AD30A" w14:textId="2E12EF38" w:rsidR="007E3A99" w:rsidRPr="00D0645A" w:rsidRDefault="00000000" w:rsidP="00D0645A">
      <w:pPr>
        <w:spacing w:before="120" w:after="120"/>
        <w:jc w:val="center"/>
      </w:pPr>
      <m:oMathPara>
        <m:oMath>
          <m:sSub>
            <m:sSubPr>
              <m:ctrlPr>
                <w:rPr>
                  <w:rFonts w:ascii="Cambria Math" w:hAnsi="Cambria Math"/>
                  <w:i/>
                </w:rPr>
              </m:ctrlPr>
            </m:sSubPr>
            <m:e>
              <m:r>
                <w:rPr>
                  <w:rFonts w:ascii="Cambria Math" w:hAnsi="Cambria Math"/>
                </w:rPr>
                <m:t>И</m:t>
              </m:r>
            </m:e>
            <m:sub>
              <m:r>
                <w:rPr>
                  <w:rFonts w:ascii="Cambria Math" w:hAnsi="Cambria Math"/>
                </w:rPr>
                <m:t>Э</m:t>
              </m:r>
            </m:sub>
          </m:sSub>
          <m:r>
            <w:rPr>
              <w:rFonts w:ascii="Cambria Math"/>
            </w:rPr>
            <m:t>=</m:t>
          </m:r>
          <m:f>
            <m:fPr>
              <m:ctrlPr>
                <w:rPr>
                  <w:rFonts w:ascii="Cambria Math" w:hAnsi="Cambria Math"/>
                  <w:i/>
                </w:rPr>
              </m:ctrlPr>
            </m:fPr>
            <m:num>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ЗП</m:t>
                  </m:r>
                </m:sup>
              </m:sSubSup>
              <m:r>
                <w:rPr>
                  <w:rFonts w:ascii="Cambria Math"/>
                </w:rPr>
                <m:t>-</m:t>
              </m:r>
              <m:sSubSup>
                <m:sSubSupPr>
                  <m:ctrlPr>
                    <w:rPr>
                      <w:rFonts w:ascii="Cambria Math" w:hAnsi="Cambria Math"/>
                      <w:i/>
                    </w:rPr>
                  </m:ctrlPr>
                </m:sSubSupPr>
                <m:e>
                  <m:r>
                    <w:rPr>
                      <w:rFonts w:ascii="Cambria Math"/>
                    </w:rPr>
                    <m:t>С</m:t>
                  </m:r>
                </m:e>
                <m:sub>
                  <m:r>
                    <w:rPr>
                      <w:rFonts w:ascii="Cambria Math" w:hAnsi="Cambria Math"/>
                    </w:rPr>
                    <m:t>ЭО</m:t>
                  </m:r>
                </m:sub>
                <m:sup>
                  <m:r>
                    <w:rPr>
                      <w:rFonts w:ascii="Cambria Math" w:hAnsi="Cambria Math"/>
                    </w:rPr>
                    <m:t>ДП</m:t>
                  </m:r>
                </m:sup>
              </m:sSubSup>
            </m:num>
            <m:den>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ЗП</m:t>
                  </m:r>
                </m:sup>
              </m:sSubSup>
            </m:den>
          </m:f>
          <m:r>
            <w:rPr>
              <w:rFonts w:ascii="Cambria Math"/>
            </w:rPr>
            <m:t>,</m:t>
          </m:r>
        </m:oMath>
      </m:oMathPara>
    </w:p>
    <w:tbl>
      <w:tblPr>
        <w:tblW w:w="7938" w:type="dxa"/>
        <w:jc w:val="center"/>
        <w:tblCellMar>
          <w:left w:w="0" w:type="dxa"/>
          <w:right w:w="0" w:type="dxa"/>
        </w:tblCellMar>
        <w:tblLook w:val="0600" w:firstRow="0" w:lastRow="0" w:firstColumn="0" w:lastColumn="0" w:noHBand="1" w:noVBand="1"/>
      </w:tblPr>
      <w:tblGrid>
        <w:gridCol w:w="579"/>
        <w:gridCol w:w="839"/>
        <w:gridCol w:w="6520"/>
      </w:tblGrid>
      <w:tr w:rsidR="0025128F" w:rsidRPr="00D0645A" w14:paraId="26E6994D" w14:textId="77777777" w:rsidTr="0025128F">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625EDE3A" w14:textId="77777777" w:rsidR="007E3A99" w:rsidRPr="00D0645A" w:rsidRDefault="007E3A99" w:rsidP="00D0645A">
            <w:pPr>
              <w:spacing w:after="0" w:line="240" w:lineRule="auto"/>
              <w:ind w:firstLine="29"/>
              <w:jc w:val="center"/>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где:</w:t>
            </w:r>
          </w:p>
        </w:tc>
        <w:tc>
          <w:tcPr>
            <w:tcW w:w="839" w:type="dxa"/>
            <w:tcBorders>
              <w:top w:val="nil"/>
              <w:left w:val="nil"/>
              <w:bottom w:val="nil"/>
              <w:right w:val="nil"/>
            </w:tcBorders>
            <w:tcMar>
              <w:top w:w="15" w:type="dxa"/>
              <w:left w:w="108" w:type="dxa"/>
              <w:bottom w:w="0" w:type="dxa"/>
              <w:right w:w="108" w:type="dxa"/>
            </w:tcMar>
            <w:hideMark/>
          </w:tcPr>
          <w:p w14:paraId="6C804EBA" w14:textId="5A409DFF" w:rsidR="007E3A99" w:rsidRPr="00D0645A" w:rsidRDefault="00000000" w:rsidP="00D0645A">
            <w:pPr>
              <w:spacing w:after="0" w:line="240" w:lineRule="auto"/>
              <w:ind w:firstLine="29"/>
              <w:jc w:val="right"/>
              <w:rPr>
                <w:rFonts w:eastAsia="Times New Roman" w:cs="Times New Roman"/>
                <w:sz w:val="20"/>
                <w:szCs w:val="20"/>
                <w:lang w:eastAsia="ru-RU"/>
              </w:rPr>
            </w:pPr>
            <m:oMath>
              <m:sSub>
                <m:sSubPr>
                  <m:ctrlPr>
                    <w:rPr>
                      <w:rFonts w:ascii="Cambria Math" w:hAnsi="Cambria Math"/>
                      <w:i/>
                    </w:rPr>
                  </m:ctrlPr>
                </m:sSubPr>
                <m:e>
                  <m:r>
                    <w:rPr>
                      <w:rFonts w:ascii="Cambria Math" w:hAnsi="Cambria Math"/>
                    </w:rPr>
                    <m:t>И</m:t>
                  </m:r>
                </m:e>
                <m:sub>
                  <m:r>
                    <w:rPr>
                      <w:rFonts w:ascii="Cambria Math" w:hAnsi="Cambria Math"/>
                    </w:rPr>
                    <m:t>Э</m:t>
                  </m:r>
                </m:sub>
              </m:sSub>
            </m:oMath>
            <w:r w:rsidR="007E3A99" w:rsidRPr="00D0645A">
              <w:rPr>
                <w:rFonts w:eastAsia="Times New Roman" w:cs="Times New Roman"/>
                <w:i/>
                <w:iCs/>
                <w:color w:val="000000" w:themeColor="text1"/>
                <w:kern w:val="24"/>
                <w:sz w:val="20"/>
                <w:szCs w:val="20"/>
                <w:lang w:val="en-US" w:eastAsia="ru-RU"/>
              </w:rPr>
              <w:t xml:space="preserve"> </w:t>
            </w:r>
            <w:r w:rsidR="007E3A99" w:rsidRPr="00D0645A">
              <w:rPr>
                <w:rFonts w:eastAsia="Times New Roman" w:cs="Times New Roman"/>
                <w:i/>
                <w:iCs/>
                <w:color w:val="000000" w:themeColor="text1"/>
                <w:kern w:val="24"/>
                <w:sz w:val="20"/>
                <w:szCs w:val="20"/>
                <w:lang w:eastAsia="ru-RU"/>
              </w:rPr>
              <w:t>–</w:t>
            </w:r>
          </w:p>
        </w:tc>
        <w:tc>
          <w:tcPr>
            <w:tcW w:w="6520" w:type="dxa"/>
            <w:tcBorders>
              <w:top w:val="nil"/>
              <w:left w:val="nil"/>
              <w:bottom w:val="nil"/>
              <w:right w:val="nil"/>
            </w:tcBorders>
            <w:tcMar>
              <w:top w:w="15" w:type="dxa"/>
              <w:left w:w="108" w:type="dxa"/>
              <w:bottom w:w="0" w:type="dxa"/>
              <w:right w:w="108" w:type="dxa"/>
            </w:tcMar>
            <w:hideMark/>
          </w:tcPr>
          <w:p w14:paraId="115938D9" w14:textId="0C324BC9" w:rsidR="007E3A99" w:rsidRPr="00D0645A" w:rsidRDefault="007E3A9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экономическое </w:t>
            </w:r>
            <w:r w:rsidR="000224E8" w:rsidRPr="00D0645A">
              <w:rPr>
                <w:rFonts w:eastAsia="Times New Roman" w:cs="Times New Roman"/>
                <w:color w:val="000000" w:themeColor="text1"/>
                <w:kern w:val="24"/>
                <w:sz w:val="20"/>
                <w:szCs w:val="20"/>
                <w:lang w:eastAsia="ru-RU"/>
              </w:rPr>
              <w:t>обесценение</w:t>
            </w:r>
            <w:r w:rsidRPr="00D0645A">
              <w:rPr>
                <w:rFonts w:eastAsia="Times New Roman" w:cs="Times New Roman"/>
                <w:color w:val="000000" w:themeColor="text1"/>
                <w:kern w:val="24"/>
                <w:sz w:val="20"/>
                <w:szCs w:val="20"/>
                <w:lang w:eastAsia="ru-RU"/>
              </w:rPr>
              <w:t>, %;</w:t>
            </w:r>
          </w:p>
        </w:tc>
      </w:tr>
      <w:tr w:rsidR="0025128F" w:rsidRPr="00D0645A" w14:paraId="5B67BC58" w14:textId="77777777" w:rsidTr="0025128F">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7793E8D9" w14:textId="77777777" w:rsidR="007E3A99" w:rsidRPr="00D0645A" w:rsidRDefault="007E3A99" w:rsidP="00D0645A">
            <w:pPr>
              <w:spacing w:after="0" w:line="240" w:lineRule="auto"/>
              <w:rPr>
                <w:rFonts w:eastAsia="Times New Roman" w:cs="Times New Roman"/>
                <w:sz w:val="20"/>
                <w:szCs w:val="20"/>
                <w:lang w:eastAsia="ru-RU"/>
              </w:rPr>
            </w:pPr>
          </w:p>
        </w:tc>
        <w:tc>
          <w:tcPr>
            <w:tcW w:w="839" w:type="dxa"/>
            <w:tcBorders>
              <w:top w:val="nil"/>
              <w:left w:val="nil"/>
              <w:bottom w:val="nil"/>
              <w:right w:val="nil"/>
            </w:tcBorders>
            <w:tcMar>
              <w:top w:w="15" w:type="dxa"/>
              <w:left w:w="108" w:type="dxa"/>
              <w:bottom w:w="0" w:type="dxa"/>
              <w:right w:w="108" w:type="dxa"/>
            </w:tcMar>
            <w:hideMark/>
          </w:tcPr>
          <w:p w14:paraId="0058D0C9" w14:textId="0D5DFBF1" w:rsidR="007E3A99" w:rsidRPr="00D0645A" w:rsidRDefault="00000000" w:rsidP="00D0645A">
            <w:pPr>
              <w:spacing w:after="0" w:line="240" w:lineRule="auto"/>
              <w:jc w:val="right"/>
              <w:rPr>
                <w:rFonts w:eastAsia="Times New Roman" w:cs="Times New Roman"/>
                <w:sz w:val="20"/>
                <w:szCs w:val="20"/>
                <w:lang w:eastAsia="ru-RU"/>
              </w:rPr>
            </w:pPr>
            <m:oMath>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ЗП</m:t>
                  </m:r>
                </m:sup>
              </m:sSubSup>
            </m:oMath>
            <w:r w:rsidR="007E3A99" w:rsidRPr="00D0645A">
              <w:rPr>
                <w:rFonts w:eastAsia="Times New Roman" w:cs="Times New Roman"/>
                <w:i/>
                <w:iCs/>
                <w:color w:val="000000" w:themeColor="text1"/>
                <w:kern w:val="24"/>
                <w:sz w:val="20"/>
                <w:szCs w:val="20"/>
                <w:lang w:eastAsia="ru-RU"/>
              </w:rPr>
              <w:t xml:space="preserve"> –</w:t>
            </w:r>
          </w:p>
        </w:tc>
        <w:tc>
          <w:tcPr>
            <w:tcW w:w="6520" w:type="dxa"/>
            <w:tcBorders>
              <w:top w:val="nil"/>
              <w:left w:val="nil"/>
              <w:bottom w:val="nil"/>
              <w:right w:val="nil"/>
            </w:tcBorders>
            <w:tcMar>
              <w:top w:w="15" w:type="dxa"/>
              <w:left w:w="108" w:type="dxa"/>
              <w:bottom w:w="0" w:type="dxa"/>
              <w:right w:w="108" w:type="dxa"/>
            </w:tcMar>
            <w:hideMark/>
          </w:tcPr>
          <w:p w14:paraId="6A4E5D8C" w14:textId="559B7357" w:rsidR="007E3A99" w:rsidRPr="00D0645A" w:rsidRDefault="007E3A9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стоимость имущества без учета экономического </w:t>
            </w:r>
            <w:r w:rsidR="00595FB9" w:rsidRPr="00D0645A">
              <w:rPr>
                <w:rFonts w:eastAsia="Times New Roman" w:cs="Times New Roman"/>
                <w:color w:val="000000" w:themeColor="text1"/>
                <w:kern w:val="24"/>
                <w:sz w:val="20"/>
                <w:szCs w:val="20"/>
                <w:lang w:eastAsia="ru-RU"/>
              </w:rPr>
              <w:t>обесценения</w:t>
            </w:r>
            <w:r w:rsidRPr="00D0645A">
              <w:rPr>
                <w:rFonts w:eastAsia="Times New Roman" w:cs="Times New Roman"/>
                <w:color w:val="000000" w:themeColor="text1"/>
                <w:kern w:val="24"/>
                <w:sz w:val="20"/>
                <w:szCs w:val="20"/>
                <w:lang w:eastAsia="ru-RU"/>
              </w:rPr>
              <w:t xml:space="preserve">, </w:t>
            </w:r>
            <w:r w:rsidR="00595FB9" w:rsidRPr="00D0645A">
              <w:rPr>
                <w:rFonts w:eastAsia="Times New Roman" w:cs="Times New Roman"/>
                <w:color w:val="000000" w:themeColor="text1"/>
                <w:kern w:val="24"/>
                <w:sz w:val="20"/>
                <w:szCs w:val="20"/>
                <w:lang w:eastAsia="ru-RU"/>
              </w:rPr>
              <w:t xml:space="preserve">полученная </w:t>
            </w:r>
            <w:r w:rsidR="003B03F8" w:rsidRPr="00D0645A">
              <w:rPr>
                <w:rFonts w:eastAsia="Times New Roman" w:cs="Times New Roman"/>
                <w:color w:val="000000" w:themeColor="text1"/>
                <w:kern w:val="24"/>
                <w:sz w:val="20"/>
                <w:szCs w:val="20"/>
                <w:lang w:eastAsia="ru-RU"/>
              </w:rPr>
              <w:t>з</w:t>
            </w:r>
            <w:r w:rsidR="00595FB9" w:rsidRPr="00D0645A">
              <w:rPr>
                <w:rFonts w:eastAsia="Times New Roman" w:cs="Times New Roman"/>
                <w:color w:val="000000" w:themeColor="text1"/>
                <w:kern w:val="24"/>
                <w:sz w:val="20"/>
                <w:szCs w:val="20"/>
                <w:lang w:eastAsia="ru-RU"/>
              </w:rPr>
              <w:t>атратн</w:t>
            </w:r>
            <w:r w:rsidR="00C10719" w:rsidRPr="00D0645A">
              <w:rPr>
                <w:rFonts w:eastAsia="Times New Roman" w:cs="Times New Roman"/>
                <w:color w:val="000000" w:themeColor="text1"/>
                <w:kern w:val="24"/>
                <w:sz w:val="20"/>
                <w:szCs w:val="20"/>
                <w:lang w:eastAsia="ru-RU"/>
              </w:rPr>
              <w:t>ым</w:t>
            </w:r>
            <w:r w:rsidR="00595FB9" w:rsidRPr="00D0645A">
              <w:rPr>
                <w:rFonts w:eastAsia="Times New Roman" w:cs="Times New Roman"/>
                <w:color w:val="000000" w:themeColor="text1"/>
                <w:kern w:val="24"/>
                <w:sz w:val="20"/>
                <w:szCs w:val="20"/>
                <w:lang w:eastAsia="ru-RU"/>
              </w:rPr>
              <w:t xml:space="preserve"> подход</w:t>
            </w:r>
            <w:r w:rsidR="00C10719" w:rsidRPr="00D0645A">
              <w:rPr>
                <w:rFonts w:eastAsia="Times New Roman" w:cs="Times New Roman"/>
                <w:color w:val="000000" w:themeColor="text1"/>
                <w:kern w:val="24"/>
                <w:sz w:val="20"/>
                <w:szCs w:val="20"/>
                <w:lang w:eastAsia="ru-RU"/>
              </w:rPr>
              <w:t>ом</w:t>
            </w:r>
            <w:r w:rsidR="00595FB9" w:rsidRPr="00D0645A">
              <w:rPr>
                <w:rFonts w:eastAsia="Times New Roman" w:cs="Times New Roman"/>
                <w:color w:val="000000" w:themeColor="text1"/>
                <w:kern w:val="24"/>
                <w:sz w:val="20"/>
                <w:szCs w:val="20"/>
                <w:lang w:eastAsia="ru-RU"/>
              </w:rPr>
              <w:t xml:space="preserve">, </w:t>
            </w:r>
            <w:proofErr w:type="spellStart"/>
            <w:r w:rsidRPr="00D0645A">
              <w:rPr>
                <w:rFonts w:eastAsia="Times New Roman" w:cs="Times New Roman"/>
                <w:color w:val="000000" w:themeColor="text1"/>
                <w:kern w:val="24"/>
                <w:sz w:val="20"/>
                <w:szCs w:val="20"/>
                <w:lang w:eastAsia="ru-RU"/>
              </w:rPr>
              <w:t>ден.ед</w:t>
            </w:r>
            <w:proofErr w:type="spellEnd"/>
            <w:r w:rsidRPr="00D0645A">
              <w:rPr>
                <w:rFonts w:eastAsia="Times New Roman" w:cs="Times New Roman"/>
                <w:color w:val="000000" w:themeColor="text1"/>
                <w:kern w:val="24"/>
                <w:sz w:val="20"/>
                <w:szCs w:val="20"/>
                <w:lang w:eastAsia="ru-RU"/>
              </w:rPr>
              <w:t>.;</w:t>
            </w:r>
          </w:p>
        </w:tc>
      </w:tr>
      <w:tr w:rsidR="0025128F" w:rsidRPr="00D0645A" w14:paraId="58734FC2" w14:textId="77777777" w:rsidTr="0025128F">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35B16731" w14:textId="77777777" w:rsidR="00574835" w:rsidRPr="00D0645A" w:rsidRDefault="00574835" w:rsidP="00D0645A">
            <w:pPr>
              <w:spacing w:after="0" w:line="240" w:lineRule="auto"/>
              <w:rPr>
                <w:rFonts w:eastAsia="Times New Roman" w:cs="Times New Roman"/>
                <w:sz w:val="20"/>
                <w:szCs w:val="20"/>
                <w:lang w:eastAsia="ru-RU"/>
              </w:rPr>
            </w:pPr>
          </w:p>
        </w:tc>
        <w:tc>
          <w:tcPr>
            <w:tcW w:w="839" w:type="dxa"/>
            <w:tcBorders>
              <w:top w:val="nil"/>
              <w:left w:val="nil"/>
              <w:bottom w:val="nil"/>
              <w:right w:val="nil"/>
            </w:tcBorders>
            <w:tcMar>
              <w:top w:w="15" w:type="dxa"/>
              <w:left w:w="108" w:type="dxa"/>
              <w:bottom w:w="0" w:type="dxa"/>
              <w:right w:w="108" w:type="dxa"/>
            </w:tcMar>
            <w:hideMark/>
          </w:tcPr>
          <w:p w14:paraId="71D099DD" w14:textId="34727CAD" w:rsidR="00574835" w:rsidRPr="00D0645A" w:rsidRDefault="00000000" w:rsidP="00D0645A">
            <w:pPr>
              <w:spacing w:after="0" w:line="240" w:lineRule="auto"/>
              <w:jc w:val="right"/>
              <w:rPr>
                <w:rFonts w:eastAsia="Times New Roman" w:cs="Times New Roman"/>
                <w:sz w:val="20"/>
                <w:szCs w:val="20"/>
                <w:lang w:eastAsia="ru-RU"/>
              </w:rPr>
            </w:pPr>
            <m:oMath>
              <m:sSubSup>
                <m:sSubSupPr>
                  <m:ctrlPr>
                    <w:rPr>
                      <w:rFonts w:ascii="Cambria Math" w:hAnsi="Cambria Math"/>
                      <w:i/>
                    </w:rPr>
                  </m:ctrlPr>
                </m:sSubSupPr>
                <m:e>
                  <m:r>
                    <w:rPr>
                      <w:rFonts w:ascii="Cambria Math"/>
                    </w:rPr>
                    <m:t>С</m:t>
                  </m:r>
                </m:e>
                <m:sub>
                  <m:r>
                    <w:rPr>
                      <w:rFonts w:ascii="Cambria Math" w:hAnsi="Cambria Math"/>
                    </w:rPr>
                    <m:t>ЭО</m:t>
                  </m:r>
                </m:sub>
                <m:sup>
                  <m:r>
                    <w:rPr>
                      <w:rFonts w:ascii="Cambria Math" w:hAnsi="Cambria Math"/>
                    </w:rPr>
                    <m:t>ДП</m:t>
                  </m:r>
                </m:sup>
              </m:sSubSup>
            </m:oMath>
            <w:r w:rsidR="00574835" w:rsidRPr="00D0645A">
              <w:rPr>
                <w:rFonts w:eastAsia="Times New Roman" w:cs="Times New Roman"/>
              </w:rPr>
              <w:t xml:space="preserve"> – </w:t>
            </w:r>
          </w:p>
        </w:tc>
        <w:tc>
          <w:tcPr>
            <w:tcW w:w="6520" w:type="dxa"/>
            <w:tcBorders>
              <w:top w:val="nil"/>
              <w:left w:val="nil"/>
              <w:bottom w:val="nil"/>
              <w:right w:val="nil"/>
            </w:tcBorders>
            <w:tcMar>
              <w:top w:w="15" w:type="dxa"/>
              <w:left w:w="108" w:type="dxa"/>
              <w:bottom w:w="0" w:type="dxa"/>
              <w:right w:w="108" w:type="dxa"/>
            </w:tcMar>
            <w:hideMark/>
          </w:tcPr>
          <w:p w14:paraId="6AABB608" w14:textId="27E13D7E" w:rsidR="00574835" w:rsidRPr="00D0645A" w:rsidRDefault="00574835"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стоимость имущества с учетом экономического </w:t>
            </w:r>
            <w:r w:rsidR="00595FB9" w:rsidRPr="00D0645A">
              <w:rPr>
                <w:rFonts w:eastAsia="Times New Roman" w:cs="Times New Roman"/>
                <w:color w:val="000000" w:themeColor="text1"/>
                <w:kern w:val="24"/>
                <w:sz w:val="20"/>
                <w:szCs w:val="20"/>
                <w:lang w:eastAsia="ru-RU"/>
              </w:rPr>
              <w:t>обесценения</w:t>
            </w:r>
            <w:r w:rsidRPr="00D0645A">
              <w:rPr>
                <w:rFonts w:eastAsia="Times New Roman" w:cs="Times New Roman"/>
                <w:color w:val="000000" w:themeColor="text1"/>
                <w:kern w:val="24"/>
                <w:sz w:val="20"/>
                <w:szCs w:val="20"/>
                <w:lang w:eastAsia="ru-RU"/>
              </w:rPr>
              <w:t xml:space="preserve">, </w:t>
            </w:r>
            <w:r w:rsidR="00595FB9" w:rsidRPr="00D0645A">
              <w:rPr>
                <w:rFonts w:eastAsia="Times New Roman" w:cs="Times New Roman"/>
                <w:color w:val="000000" w:themeColor="text1"/>
                <w:kern w:val="24"/>
                <w:sz w:val="20"/>
                <w:szCs w:val="20"/>
                <w:lang w:eastAsia="ru-RU"/>
              </w:rPr>
              <w:t>полученная доходн</w:t>
            </w:r>
            <w:r w:rsidR="00C10719" w:rsidRPr="00D0645A">
              <w:rPr>
                <w:rFonts w:eastAsia="Times New Roman" w:cs="Times New Roman"/>
                <w:color w:val="000000" w:themeColor="text1"/>
                <w:kern w:val="24"/>
                <w:sz w:val="20"/>
                <w:szCs w:val="20"/>
                <w:lang w:eastAsia="ru-RU"/>
              </w:rPr>
              <w:t>ым</w:t>
            </w:r>
            <w:r w:rsidR="00595FB9" w:rsidRPr="00D0645A">
              <w:rPr>
                <w:rFonts w:eastAsia="Times New Roman" w:cs="Times New Roman"/>
                <w:color w:val="000000" w:themeColor="text1"/>
                <w:kern w:val="24"/>
                <w:sz w:val="20"/>
                <w:szCs w:val="20"/>
                <w:lang w:eastAsia="ru-RU"/>
              </w:rPr>
              <w:t xml:space="preserve"> подход</w:t>
            </w:r>
            <w:r w:rsidR="00C10719" w:rsidRPr="00D0645A">
              <w:rPr>
                <w:rFonts w:eastAsia="Times New Roman" w:cs="Times New Roman"/>
                <w:color w:val="000000" w:themeColor="text1"/>
                <w:kern w:val="24"/>
                <w:sz w:val="20"/>
                <w:szCs w:val="20"/>
                <w:lang w:eastAsia="ru-RU"/>
              </w:rPr>
              <w:t>ом</w:t>
            </w:r>
            <w:r w:rsidR="00595FB9" w:rsidRPr="00D0645A">
              <w:rPr>
                <w:rFonts w:eastAsia="Times New Roman" w:cs="Times New Roman"/>
                <w:color w:val="000000" w:themeColor="text1"/>
                <w:kern w:val="24"/>
                <w:sz w:val="20"/>
                <w:szCs w:val="20"/>
                <w:lang w:eastAsia="ru-RU"/>
              </w:rPr>
              <w:t xml:space="preserve">, </w:t>
            </w:r>
            <w:proofErr w:type="spellStart"/>
            <w:r w:rsidRPr="00D0645A">
              <w:rPr>
                <w:rFonts w:eastAsia="Times New Roman" w:cs="Times New Roman"/>
                <w:color w:val="000000" w:themeColor="text1"/>
                <w:kern w:val="24"/>
                <w:sz w:val="20"/>
                <w:szCs w:val="20"/>
                <w:lang w:eastAsia="ru-RU"/>
              </w:rPr>
              <w:t>ден.ед</w:t>
            </w:r>
            <w:proofErr w:type="spellEnd"/>
            <w:r w:rsidRPr="00D0645A">
              <w:rPr>
                <w:rFonts w:eastAsia="Times New Roman" w:cs="Times New Roman"/>
                <w:color w:val="000000" w:themeColor="text1"/>
                <w:kern w:val="24"/>
                <w:sz w:val="20"/>
                <w:szCs w:val="20"/>
                <w:lang w:eastAsia="ru-RU"/>
              </w:rPr>
              <w:t>.</w:t>
            </w:r>
          </w:p>
        </w:tc>
      </w:tr>
    </w:tbl>
    <w:p w14:paraId="43BED742" w14:textId="2EDB378E" w:rsidR="00E93564" w:rsidRPr="00D0645A" w:rsidRDefault="007F2177" w:rsidP="00D0645A">
      <w:pPr>
        <w:spacing w:before="60" w:after="0" w:line="240" w:lineRule="auto"/>
        <w:ind w:firstLine="703"/>
        <w:jc w:val="both"/>
        <w:rPr>
          <w:sz w:val="24"/>
        </w:rPr>
      </w:pPr>
      <w:r w:rsidRPr="00D0645A">
        <w:rPr>
          <w:b/>
          <w:bCs/>
          <w:sz w:val="24"/>
        </w:rPr>
        <w:t>4.2.</w:t>
      </w:r>
      <w:r w:rsidRPr="00D0645A">
        <w:rPr>
          <w:sz w:val="24"/>
        </w:rPr>
        <w:t xml:space="preserve"> </w:t>
      </w:r>
      <w:r w:rsidR="00E93564" w:rsidRPr="00D0645A">
        <w:rPr>
          <w:sz w:val="24"/>
        </w:rPr>
        <w:t>Метод парного сравнения продаж – анализ соотношения стоимост</w:t>
      </w:r>
      <w:r w:rsidR="00A31670" w:rsidRPr="00D0645A">
        <w:rPr>
          <w:sz w:val="24"/>
        </w:rPr>
        <w:t>ей</w:t>
      </w:r>
      <w:r w:rsidR="00E93564" w:rsidRPr="00D0645A">
        <w:rPr>
          <w:sz w:val="24"/>
        </w:rPr>
        <w:t xml:space="preserve"> аналогичного имущества с/без признаков </w:t>
      </w:r>
      <w:r w:rsidR="00574835" w:rsidRPr="00D0645A">
        <w:rPr>
          <w:sz w:val="24"/>
        </w:rPr>
        <w:t xml:space="preserve">экономического </w:t>
      </w:r>
      <w:r w:rsidR="00E93564" w:rsidRPr="00D0645A">
        <w:rPr>
          <w:sz w:val="24"/>
        </w:rPr>
        <w:t>обесценения</w:t>
      </w:r>
      <w:r w:rsidR="00A31670" w:rsidRPr="00D0645A">
        <w:rPr>
          <w:sz w:val="24"/>
        </w:rPr>
        <w:t xml:space="preserve">, полученных по сравнительному подходу к оценке (раздел </w:t>
      </w:r>
      <w:r w:rsidR="00A31670" w:rsidRPr="00D0645A">
        <w:rPr>
          <w:sz w:val="24"/>
          <w:lang w:val="en-US"/>
        </w:rPr>
        <w:t>II</w:t>
      </w:r>
      <w:r w:rsidR="00A31670" w:rsidRPr="00D0645A">
        <w:rPr>
          <w:sz w:val="24"/>
        </w:rPr>
        <w:t xml:space="preserve"> ФСО </w:t>
      </w:r>
      <w:r w:rsidR="00A31670" w:rsidRPr="00D0645A">
        <w:rPr>
          <w:sz w:val="24"/>
          <w:lang w:val="en-US"/>
        </w:rPr>
        <w:t>V</w:t>
      </w:r>
      <w:r w:rsidR="00A31670" w:rsidRPr="00D0645A">
        <w:rPr>
          <w:sz w:val="24"/>
        </w:rPr>
        <w:t>)</w:t>
      </w:r>
      <w:r w:rsidR="00574835" w:rsidRPr="00D0645A">
        <w:rPr>
          <w:sz w:val="24"/>
        </w:rPr>
        <w:t>:</w:t>
      </w:r>
    </w:p>
    <w:p w14:paraId="38AE84B7" w14:textId="6628BA9A" w:rsidR="00574835" w:rsidRPr="00D0645A" w:rsidRDefault="00000000" w:rsidP="00D0645A">
      <w:pPr>
        <w:spacing w:before="120" w:after="120"/>
        <w:jc w:val="center"/>
      </w:pPr>
      <m:oMathPara>
        <m:oMath>
          <m:sSub>
            <m:sSubPr>
              <m:ctrlPr>
                <w:rPr>
                  <w:rFonts w:ascii="Cambria Math" w:hAnsi="Cambria Math"/>
                  <w:i/>
                </w:rPr>
              </m:ctrlPr>
            </m:sSubPr>
            <m:e>
              <m:r>
                <w:rPr>
                  <w:rFonts w:ascii="Cambria Math" w:hAnsi="Cambria Math"/>
                </w:rPr>
                <m:t>И</m:t>
              </m:r>
            </m:e>
            <m:sub>
              <m:r>
                <w:rPr>
                  <w:rFonts w:ascii="Cambria Math" w:hAnsi="Cambria Math"/>
                </w:rPr>
                <m:t>Э</m:t>
              </m:r>
            </m:sub>
          </m:sSub>
          <m:r>
            <w:rPr>
              <w:rFonts w:ascii="Cambria Math"/>
            </w:rPr>
            <m:t>=</m:t>
          </m:r>
          <m:f>
            <m:fPr>
              <m:ctrlPr>
                <w:rPr>
                  <w:rFonts w:ascii="Cambria Math" w:hAnsi="Cambria Math"/>
                  <w:i/>
                </w:rPr>
              </m:ctrlPr>
            </m:fPr>
            <m:num>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СП</m:t>
                  </m:r>
                </m:sup>
              </m:sSubSup>
              <m:r>
                <w:rPr>
                  <w:rFonts w:ascii="Cambria Math"/>
                </w:rPr>
                <m:t>-</m:t>
              </m:r>
              <m:sSubSup>
                <m:sSubSupPr>
                  <m:ctrlPr>
                    <w:rPr>
                      <w:rFonts w:ascii="Cambria Math" w:hAnsi="Cambria Math"/>
                      <w:i/>
                    </w:rPr>
                  </m:ctrlPr>
                </m:sSubSupPr>
                <m:e>
                  <m:r>
                    <w:rPr>
                      <w:rFonts w:ascii="Cambria Math"/>
                    </w:rPr>
                    <m:t>С</m:t>
                  </m:r>
                </m:e>
                <m:sub>
                  <m:r>
                    <w:rPr>
                      <w:rFonts w:ascii="Cambria Math" w:hAnsi="Cambria Math"/>
                    </w:rPr>
                    <m:t>ЭО</m:t>
                  </m:r>
                </m:sub>
                <m:sup>
                  <m:r>
                    <w:rPr>
                      <w:rFonts w:ascii="Cambria Math" w:hAnsi="Cambria Math"/>
                    </w:rPr>
                    <m:t>СП</m:t>
                  </m:r>
                </m:sup>
              </m:sSubSup>
            </m:num>
            <m:den>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СП</m:t>
                  </m:r>
                </m:sup>
              </m:sSubSup>
            </m:den>
          </m:f>
          <m:r>
            <w:rPr>
              <w:rFonts w:ascii="Cambria Math"/>
            </w:rPr>
            <m:t>,</m:t>
          </m:r>
        </m:oMath>
      </m:oMathPara>
    </w:p>
    <w:tbl>
      <w:tblPr>
        <w:tblW w:w="7938" w:type="dxa"/>
        <w:jc w:val="center"/>
        <w:tblCellMar>
          <w:left w:w="0" w:type="dxa"/>
          <w:right w:w="0" w:type="dxa"/>
        </w:tblCellMar>
        <w:tblLook w:val="0600" w:firstRow="0" w:lastRow="0" w:firstColumn="0" w:lastColumn="0" w:noHBand="1" w:noVBand="1"/>
      </w:tblPr>
      <w:tblGrid>
        <w:gridCol w:w="579"/>
        <w:gridCol w:w="839"/>
        <w:gridCol w:w="6520"/>
      </w:tblGrid>
      <w:tr w:rsidR="00595FB9" w:rsidRPr="00D0645A" w14:paraId="2F2457BD" w14:textId="77777777" w:rsidTr="00D0645A">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1A264363" w14:textId="77777777" w:rsidR="00595FB9" w:rsidRPr="00D0645A" w:rsidRDefault="00595FB9" w:rsidP="00D0645A">
            <w:pPr>
              <w:spacing w:after="0" w:line="240" w:lineRule="auto"/>
              <w:ind w:firstLine="29"/>
              <w:jc w:val="center"/>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где:</w:t>
            </w:r>
          </w:p>
        </w:tc>
        <w:tc>
          <w:tcPr>
            <w:tcW w:w="839" w:type="dxa"/>
            <w:tcBorders>
              <w:top w:val="nil"/>
              <w:left w:val="nil"/>
              <w:bottom w:val="nil"/>
              <w:right w:val="nil"/>
            </w:tcBorders>
            <w:tcMar>
              <w:top w:w="15" w:type="dxa"/>
              <w:left w:w="108" w:type="dxa"/>
              <w:bottom w:w="0" w:type="dxa"/>
              <w:right w:w="108" w:type="dxa"/>
            </w:tcMar>
          </w:tcPr>
          <w:p w14:paraId="48F3FDD0" w14:textId="7B835976" w:rsidR="00595FB9" w:rsidRPr="00D0645A" w:rsidRDefault="00000000" w:rsidP="00D0645A">
            <w:pPr>
              <w:spacing w:after="0" w:line="240" w:lineRule="auto"/>
              <w:ind w:firstLine="29"/>
              <w:jc w:val="right"/>
              <w:rPr>
                <w:rFonts w:eastAsia="Times New Roman" w:cs="Times New Roman"/>
                <w:sz w:val="20"/>
                <w:szCs w:val="20"/>
                <w:lang w:eastAsia="ru-RU"/>
              </w:rPr>
            </w:pPr>
            <m:oMath>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СП</m:t>
                  </m:r>
                </m:sup>
              </m:sSubSup>
            </m:oMath>
            <w:r w:rsidR="00595FB9" w:rsidRPr="00D0645A">
              <w:rPr>
                <w:rFonts w:eastAsia="Times New Roman" w:cs="Times New Roman"/>
                <w:i/>
                <w:iCs/>
                <w:color w:val="000000" w:themeColor="text1"/>
                <w:kern w:val="24"/>
                <w:sz w:val="20"/>
                <w:szCs w:val="20"/>
                <w:lang w:eastAsia="ru-RU"/>
              </w:rPr>
              <w:t xml:space="preserve"> –</w:t>
            </w:r>
          </w:p>
        </w:tc>
        <w:tc>
          <w:tcPr>
            <w:tcW w:w="6520" w:type="dxa"/>
            <w:tcBorders>
              <w:top w:val="nil"/>
              <w:left w:val="nil"/>
              <w:bottom w:val="nil"/>
              <w:right w:val="nil"/>
            </w:tcBorders>
            <w:tcMar>
              <w:top w:w="15" w:type="dxa"/>
              <w:left w:w="108" w:type="dxa"/>
              <w:bottom w:w="0" w:type="dxa"/>
              <w:right w:w="108" w:type="dxa"/>
            </w:tcMar>
          </w:tcPr>
          <w:p w14:paraId="535CEE07" w14:textId="352C43F8" w:rsidR="00595FB9" w:rsidRPr="00D0645A" w:rsidRDefault="00595FB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стоимость аналогичного имущества без признаков экономического обесценения, полученная по сравнительному подходу, </w:t>
            </w:r>
            <w:proofErr w:type="spellStart"/>
            <w:r w:rsidRPr="00D0645A">
              <w:rPr>
                <w:rFonts w:eastAsia="Times New Roman" w:cs="Times New Roman"/>
                <w:color w:val="000000" w:themeColor="text1"/>
                <w:kern w:val="24"/>
                <w:sz w:val="20"/>
                <w:szCs w:val="20"/>
                <w:lang w:eastAsia="ru-RU"/>
              </w:rPr>
              <w:t>ден.ед</w:t>
            </w:r>
            <w:proofErr w:type="spellEnd"/>
            <w:r w:rsidRPr="00D0645A">
              <w:rPr>
                <w:rFonts w:eastAsia="Times New Roman" w:cs="Times New Roman"/>
                <w:color w:val="000000" w:themeColor="text1"/>
                <w:kern w:val="24"/>
                <w:sz w:val="20"/>
                <w:szCs w:val="20"/>
                <w:lang w:eastAsia="ru-RU"/>
              </w:rPr>
              <w:t>.;</w:t>
            </w:r>
          </w:p>
        </w:tc>
      </w:tr>
      <w:tr w:rsidR="00595FB9" w:rsidRPr="00D0645A" w14:paraId="107AFFD5" w14:textId="77777777" w:rsidTr="00D0645A">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2046B54B" w14:textId="77777777" w:rsidR="00595FB9" w:rsidRPr="00D0645A" w:rsidRDefault="00595FB9" w:rsidP="00D0645A">
            <w:pPr>
              <w:spacing w:after="0" w:line="240" w:lineRule="auto"/>
              <w:rPr>
                <w:rFonts w:eastAsia="Times New Roman" w:cs="Times New Roman"/>
                <w:sz w:val="20"/>
                <w:szCs w:val="20"/>
                <w:lang w:eastAsia="ru-RU"/>
              </w:rPr>
            </w:pPr>
          </w:p>
        </w:tc>
        <w:tc>
          <w:tcPr>
            <w:tcW w:w="839" w:type="dxa"/>
            <w:tcBorders>
              <w:top w:val="nil"/>
              <w:left w:val="nil"/>
              <w:bottom w:val="nil"/>
              <w:right w:val="nil"/>
            </w:tcBorders>
            <w:tcMar>
              <w:top w:w="15" w:type="dxa"/>
              <w:left w:w="108" w:type="dxa"/>
              <w:bottom w:w="0" w:type="dxa"/>
              <w:right w:w="108" w:type="dxa"/>
            </w:tcMar>
          </w:tcPr>
          <w:p w14:paraId="53A5CA99" w14:textId="0C117D58" w:rsidR="00595FB9" w:rsidRPr="00D0645A" w:rsidRDefault="00000000" w:rsidP="00D0645A">
            <w:pPr>
              <w:spacing w:after="0" w:line="240" w:lineRule="auto"/>
              <w:jc w:val="right"/>
              <w:rPr>
                <w:rFonts w:eastAsia="Times New Roman" w:cs="Times New Roman"/>
                <w:sz w:val="20"/>
                <w:szCs w:val="20"/>
                <w:lang w:eastAsia="ru-RU"/>
              </w:rPr>
            </w:pPr>
            <m:oMath>
              <m:sSubSup>
                <m:sSubSupPr>
                  <m:ctrlPr>
                    <w:rPr>
                      <w:rFonts w:ascii="Cambria Math" w:hAnsi="Cambria Math"/>
                      <w:i/>
                    </w:rPr>
                  </m:ctrlPr>
                </m:sSubSupPr>
                <m:e>
                  <m:r>
                    <w:rPr>
                      <w:rFonts w:ascii="Cambria Math"/>
                    </w:rPr>
                    <m:t>С</m:t>
                  </m:r>
                </m:e>
                <m:sub>
                  <m:r>
                    <w:rPr>
                      <w:rFonts w:ascii="Cambria Math" w:hAnsi="Cambria Math"/>
                    </w:rPr>
                    <m:t>ЭО</m:t>
                  </m:r>
                </m:sub>
                <m:sup>
                  <m:r>
                    <w:rPr>
                      <w:rFonts w:ascii="Cambria Math" w:hAnsi="Cambria Math"/>
                    </w:rPr>
                    <m:t>СП</m:t>
                  </m:r>
                </m:sup>
              </m:sSubSup>
            </m:oMath>
            <w:r w:rsidR="00595FB9" w:rsidRPr="00D0645A">
              <w:rPr>
                <w:rFonts w:eastAsia="Times New Roman" w:cs="Times New Roman"/>
              </w:rPr>
              <w:t xml:space="preserve"> – </w:t>
            </w:r>
          </w:p>
        </w:tc>
        <w:tc>
          <w:tcPr>
            <w:tcW w:w="6520" w:type="dxa"/>
            <w:tcBorders>
              <w:top w:val="nil"/>
              <w:left w:val="nil"/>
              <w:bottom w:val="nil"/>
              <w:right w:val="nil"/>
            </w:tcBorders>
            <w:tcMar>
              <w:top w:w="15" w:type="dxa"/>
              <w:left w:w="108" w:type="dxa"/>
              <w:bottom w:w="0" w:type="dxa"/>
              <w:right w:w="108" w:type="dxa"/>
            </w:tcMar>
          </w:tcPr>
          <w:p w14:paraId="1A5A2CF2" w14:textId="3A726D0F" w:rsidR="00595FB9" w:rsidRPr="00D0645A" w:rsidRDefault="00595FB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стоимость аналогичного имущества с признаками экономического обесценения, полученная по сравнительному подходу, </w:t>
            </w:r>
            <w:proofErr w:type="spellStart"/>
            <w:r w:rsidRPr="00D0645A">
              <w:rPr>
                <w:rFonts w:eastAsia="Times New Roman" w:cs="Times New Roman"/>
                <w:color w:val="000000" w:themeColor="text1"/>
                <w:kern w:val="24"/>
                <w:sz w:val="20"/>
                <w:szCs w:val="20"/>
                <w:lang w:eastAsia="ru-RU"/>
              </w:rPr>
              <w:t>ден.ед</w:t>
            </w:r>
            <w:proofErr w:type="spellEnd"/>
            <w:r w:rsidRPr="00D0645A">
              <w:rPr>
                <w:rFonts w:eastAsia="Times New Roman" w:cs="Times New Roman"/>
                <w:color w:val="000000" w:themeColor="text1"/>
                <w:kern w:val="24"/>
                <w:sz w:val="20"/>
                <w:szCs w:val="20"/>
                <w:lang w:eastAsia="ru-RU"/>
              </w:rPr>
              <w:t>.</w:t>
            </w:r>
          </w:p>
        </w:tc>
      </w:tr>
    </w:tbl>
    <w:p w14:paraId="47A6328B" w14:textId="2EF1F800" w:rsidR="00E93564" w:rsidRPr="00D0645A" w:rsidRDefault="007F2177" w:rsidP="00D0645A">
      <w:pPr>
        <w:spacing w:before="60" w:after="0" w:line="240" w:lineRule="auto"/>
        <w:ind w:firstLine="703"/>
        <w:jc w:val="both"/>
        <w:rPr>
          <w:sz w:val="24"/>
        </w:rPr>
      </w:pPr>
      <w:r w:rsidRPr="00D0645A">
        <w:rPr>
          <w:b/>
          <w:bCs/>
          <w:sz w:val="24"/>
        </w:rPr>
        <w:t>4.3.</w:t>
      </w:r>
      <w:r w:rsidRPr="00D0645A">
        <w:rPr>
          <w:sz w:val="24"/>
        </w:rPr>
        <w:t xml:space="preserve"> </w:t>
      </w:r>
      <w:r w:rsidR="00E93564" w:rsidRPr="00D0645A">
        <w:rPr>
          <w:sz w:val="24"/>
        </w:rPr>
        <w:t xml:space="preserve">Метод капитализации (дисконтирования) потерь – определение текущей стоимости разницы в доходах от аналогичного имущества с/без признаков </w:t>
      </w:r>
      <w:r w:rsidR="00595FB9" w:rsidRPr="00D0645A">
        <w:rPr>
          <w:sz w:val="24"/>
        </w:rPr>
        <w:t xml:space="preserve">экономического </w:t>
      </w:r>
      <w:r w:rsidR="00E93564" w:rsidRPr="00D0645A">
        <w:rPr>
          <w:sz w:val="24"/>
        </w:rPr>
        <w:t>обесценения</w:t>
      </w:r>
      <w:r w:rsidR="00595FB9" w:rsidRPr="00D0645A">
        <w:rPr>
          <w:sz w:val="24"/>
        </w:rPr>
        <w:t>:</w:t>
      </w:r>
    </w:p>
    <w:p w14:paraId="72D7CD7D" w14:textId="6EBD3D6B" w:rsidR="00595FB9" w:rsidRPr="00D0645A" w:rsidRDefault="00000000" w:rsidP="00D0645A">
      <w:pPr>
        <w:spacing w:before="120" w:after="120"/>
        <w:jc w:val="center"/>
      </w:pPr>
      <m:oMathPara>
        <m:oMath>
          <m:sSub>
            <m:sSubPr>
              <m:ctrlPr>
                <w:rPr>
                  <w:rFonts w:ascii="Cambria Math" w:hAnsi="Cambria Math"/>
                  <w:i/>
                </w:rPr>
              </m:ctrlPr>
            </m:sSubPr>
            <m:e>
              <m:r>
                <w:rPr>
                  <w:rFonts w:ascii="Cambria Math" w:hAnsi="Cambria Math"/>
                </w:rPr>
                <m:t>И</m:t>
              </m:r>
            </m:e>
            <m:sub>
              <m:r>
                <w:rPr>
                  <w:rFonts w:ascii="Cambria Math" w:hAnsi="Cambria Math"/>
                </w:rPr>
                <m:t>Э</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ДП</m:t>
                  </m:r>
                </m:e>
                <m:sub>
                  <m:r>
                    <w:rPr>
                      <w:rFonts w:ascii="Cambria Math" w:hAnsi="Cambria Math"/>
                    </w:rPr>
                    <m:t>БЭО</m:t>
                  </m:r>
                </m:sub>
              </m:sSub>
              <m:r>
                <w:rPr>
                  <w:rFonts w:ascii="Cambria Math"/>
                </w:rPr>
                <m:t>-</m:t>
              </m:r>
              <m:sSub>
                <m:sSubPr>
                  <m:ctrlPr>
                    <w:rPr>
                      <w:rFonts w:ascii="Cambria Math" w:hAnsi="Cambria Math"/>
                      <w:i/>
                    </w:rPr>
                  </m:ctrlPr>
                </m:sSubPr>
                <m:e>
                  <m:r>
                    <w:rPr>
                      <w:rFonts w:ascii="Cambria Math" w:hAnsi="Cambria Math"/>
                    </w:rPr>
                    <m:t>ДП</m:t>
                  </m:r>
                </m:e>
                <m:sub>
                  <m:r>
                    <w:rPr>
                      <w:rFonts w:ascii="Cambria Math" w:hAnsi="Cambria Math"/>
                    </w:rPr>
                    <m:t>ЭО</m:t>
                  </m:r>
                </m:sub>
              </m:sSub>
            </m:num>
            <m:den>
              <m:r>
                <w:rPr>
                  <w:rFonts w:ascii="Cambria Math"/>
                  <w:lang w:val="en-US"/>
                </w:rPr>
                <m:t>R</m:t>
              </m:r>
            </m:den>
          </m:f>
          <m:r>
            <w:rPr>
              <w:rFonts w:ascii="Cambria Math"/>
            </w:rPr>
            <m:t>,</m:t>
          </m:r>
        </m:oMath>
      </m:oMathPara>
    </w:p>
    <w:tbl>
      <w:tblPr>
        <w:tblW w:w="8364" w:type="dxa"/>
        <w:jc w:val="center"/>
        <w:tblCellMar>
          <w:left w:w="0" w:type="dxa"/>
          <w:right w:w="0" w:type="dxa"/>
        </w:tblCellMar>
        <w:tblLook w:val="0600" w:firstRow="0" w:lastRow="0" w:firstColumn="0" w:lastColumn="0" w:noHBand="1" w:noVBand="1"/>
      </w:tblPr>
      <w:tblGrid>
        <w:gridCol w:w="579"/>
        <w:gridCol w:w="987"/>
        <w:gridCol w:w="6798"/>
      </w:tblGrid>
      <w:tr w:rsidR="00595FB9" w:rsidRPr="00D0645A" w14:paraId="1CDF630C" w14:textId="77777777" w:rsidTr="00D0645A">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5BF3167D" w14:textId="77777777" w:rsidR="00595FB9" w:rsidRPr="00D0645A" w:rsidRDefault="00595FB9" w:rsidP="00D0645A">
            <w:pPr>
              <w:spacing w:after="0" w:line="240" w:lineRule="auto"/>
              <w:ind w:firstLine="29"/>
              <w:jc w:val="center"/>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где:</w:t>
            </w:r>
          </w:p>
        </w:tc>
        <w:tc>
          <w:tcPr>
            <w:tcW w:w="987" w:type="dxa"/>
            <w:tcBorders>
              <w:top w:val="nil"/>
              <w:left w:val="nil"/>
              <w:bottom w:val="nil"/>
              <w:right w:val="nil"/>
            </w:tcBorders>
            <w:tcMar>
              <w:top w:w="15" w:type="dxa"/>
              <w:left w:w="108" w:type="dxa"/>
              <w:bottom w:w="0" w:type="dxa"/>
              <w:right w:w="108" w:type="dxa"/>
            </w:tcMar>
          </w:tcPr>
          <w:p w14:paraId="17B2B0C6" w14:textId="12EE23F4" w:rsidR="00595FB9" w:rsidRPr="00D0645A" w:rsidRDefault="00000000" w:rsidP="00D0645A">
            <w:pPr>
              <w:spacing w:after="0" w:line="240" w:lineRule="auto"/>
              <w:ind w:firstLine="29"/>
              <w:jc w:val="right"/>
              <w:rPr>
                <w:rFonts w:eastAsia="Times New Roman" w:cs="Times New Roman"/>
                <w:sz w:val="20"/>
                <w:szCs w:val="20"/>
                <w:lang w:eastAsia="ru-RU"/>
              </w:rPr>
            </w:pPr>
            <m:oMath>
              <m:sSub>
                <m:sSubPr>
                  <m:ctrlPr>
                    <w:rPr>
                      <w:rFonts w:ascii="Cambria Math" w:hAnsi="Cambria Math"/>
                      <w:i/>
                    </w:rPr>
                  </m:ctrlPr>
                </m:sSubPr>
                <m:e>
                  <m:r>
                    <w:rPr>
                      <w:rFonts w:ascii="Cambria Math" w:hAnsi="Cambria Math"/>
                    </w:rPr>
                    <m:t>ДП</m:t>
                  </m:r>
                </m:e>
                <m:sub>
                  <m:r>
                    <w:rPr>
                      <w:rFonts w:ascii="Cambria Math" w:hAnsi="Cambria Math"/>
                    </w:rPr>
                    <m:t>БЭО</m:t>
                  </m:r>
                </m:sub>
              </m:sSub>
              <m:r>
                <w:rPr>
                  <w:rFonts w:ascii="Cambria Math" w:hAnsi="Cambria Math"/>
                </w:rPr>
                <m:t xml:space="preserve"> </m:t>
              </m:r>
            </m:oMath>
            <w:r w:rsidR="00595FB9" w:rsidRPr="00D0645A">
              <w:rPr>
                <w:rFonts w:eastAsia="Times New Roman" w:cs="Times New Roman"/>
                <w:i/>
                <w:iCs/>
                <w:color w:val="000000" w:themeColor="text1"/>
                <w:kern w:val="24"/>
                <w:sz w:val="20"/>
                <w:szCs w:val="20"/>
                <w:lang w:eastAsia="ru-RU"/>
              </w:rPr>
              <w:t>–</w:t>
            </w:r>
          </w:p>
        </w:tc>
        <w:tc>
          <w:tcPr>
            <w:tcW w:w="6798" w:type="dxa"/>
            <w:tcBorders>
              <w:top w:val="nil"/>
              <w:left w:val="nil"/>
              <w:bottom w:val="nil"/>
              <w:right w:val="nil"/>
            </w:tcBorders>
            <w:tcMar>
              <w:top w:w="15" w:type="dxa"/>
              <w:left w:w="108" w:type="dxa"/>
              <w:bottom w:w="0" w:type="dxa"/>
              <w:right w:w="108" w:type="dxa"/>
            </w:tcMar>
          </w:tcPr>
          <w:p w14:paraId="3D345CF8" w14:textId="42A6DF07" w:rsidR="00595FB9" w:rsidRPr="00D0645A" w:rsidRDefault="00595FB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денежный поток имущества без учета экономического </w:t>
            </w:r>
            <w:r w:rsidR="000224E8" w:rsidRPr="00D0645A">
              <w:rPr>
                <w:rFonts w:eastAsia="Times New Roman" w:cs="Times New Roman"/>
                <w:color w:val="000000" w:themeColor="text1"/>
                <w:kern w:val="24"/>
                <w:sz w:val="20"/>
                <w:szCs w:val="20"/>
                <w:lang w:eastAsia="ru-RU"/>
              </w:rPr>
              <w:t>обесценения</w:t>
            </w:r>
            <w:r w:rsidRPr="00D0645A">
              <w:rPr>
                <w:rFonts w:eastAsia="Times New Roman" w:cs="Times New Roman"/>
                <w:color w:val="000000" w:themeColor="text1"/>
                <w:kern w:val="24"/>
                <w:sz w:val="20"/>
                <w:szCs w:val="20"/>
                <w:lang w:eastAsia="ru-RU"/>
              </w:rPr>
              <w:t xml:space="preserve">, </w:t>
            </w:r>
            <w:proofErr w:type="spellStart"/>
            <w:r w:rsidRPr="00D0645A">
              <w:rPr>
                <w:rFonts w:eastAsia="Times New Roman" w:cs="Times New Roman"/>
                <w:color w:val="000000" w:themeColor="text1"/>
                <w:kern w:val="24"/>
                <w:sz w:val="20"/>
                <w:szCs w:val="20"/>
                <w:lang w:eastAsia="ru-RU"/>
              </w:rPr>
              <w:t>ден.ед</w:t>
            </w:r>
            <w:proofErr w:type="spellEnd"/>
            <w:r w:rsidRPr="00D0645A">
              <w:rPr>
                <w:rFonts w:eastAsia="Times New Roman" w:cs="Times New Roman"/>
                <w:color w:val="000000" w:themeColor="text1"/>
                <w:kern w:val="24"/>
                <w:sz w:val="20"/>
                <w:szCs w:val="20"/>
                <w:lang w:eastAsia="ru-RU"/>
              </w:rPr>
              <w:t>.;</w:t>
            </w:r>
          </w:p>
        </w:tc>
      </w:tr>
      <w:tr w:rsidR="00595FB9" w:rsidRPr="00D0645A" w14:paraId="0217265B" w14:textId="77777777" w:rsidTr="00D0645A">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40E78BBE" w14:textId="77777777" w:rsidR="00595FB9" w:rsidRPr="00D0645A" w:rsidRDefault="00595FB9" w:rsidP="00D0645A">
            <w:pPr>
              <w:spacing w:after="0" w:line="240" w:lineRule="auto"/>
              <w:rPr>
                <w:rFonts w:eastAsia="Times New Roman" w:cs="Times New Roman"/>
                <w:sz w:val="20"/>
                <w:szCs w:val="20"/>
                <w:lang w:eastAsia="ru-RU"/>
              </w:rPr>
            </w:pPr>
          </w:p>
        </w:tc>
        <w:tc>
          <w:tcPr>
            <w:tcW w:w="987" w:type="dxa"/>
            <w:tcBorders>
              <w:top w:val="nil"/>
              <w:left w:val="nil"/>
              <w:bottom w:val="nil"/>
              <w:right w:val="nil"/>
            </w:tcBorders>
            <w:tcMar>
              <w:top w:w="15" w:type="dxa"/>
              <w:left w:w="108" w:type="dxa"/>
              <w:bottom w:w="0" w:type="dxa"/>
              <w:right w:w="108" w:type="dxa"/>
            </w:tcMar>
          </w:tcPr>
          <w:p w14:paraId="0DE8BD56" w14:textId="09A5EAB0" w:rsidR="00595FB9" w:rsidRPr="00D0645A" w:rsidRDefault="00000000" w:rsidP="00D0645A">
            <w:pPr>
              <w:spacing w:after="0" w:line="240" w:lineRule="auto"/>
              <w:jc w:val="right"/>
              <w:rPr>
                <w:rFonts w:eastAsia="Times New Roman" w:cs="Times New Roman"/>
                <w:sz w:val="20"/>
                <w:szCs w:val="20"/>
                <w:lang w:eastAsia="ru-RU"/>
              </w:rPr>
            </w:pPr>
            <m:oMath>
              <m:sSub>
                <m:sSubPr>
                  <m:ctrlPr>
                    <w:rPr>
                      <w:rFonts w:ascii="Cambria Math" w:hAnsi="Cambria Math"/>
                      <w:i/>
                    </w:rPr>
                  </m:ctrlPr>
                </m:sSubPr>
                <m:e>
                  <m:r>
                    <w:rPr>
                      <w:rFonts w:ascii="Cambria Math" w:hAnsi="Cambria Math"/>
                    </w:rPr>
                    <m:t>ДП</m:t>
                  </m:r>
                </m:e>
                <m:sub>
                  <m:r>
                    <w:rPr>
                      <w:rFonts w:ascii="Cambria Math" w:hAnsi="Cambria Math"/>
                    </w:rPr>
                    <m:t>ЭО</m:t>
                  </m:r>
                </m:sub>
              </m:sSub>
              <m:r>
                <w:rPr>
                  <w:rFonts w:ascii="Cambria Math" w:hAnsi="Cambria Math"/>
                </w:rPr>
                <m:t xml:space="preserve"> </m:t>
              </m:r>
            </m:oMath>
            <w:r w:rsidR="00595FB9" w:rsidRPr="00D0645A">
              <w:rPr>
                <w:rFonts w:eastAsia="Times New Roman" w:cs="Times New Roman"/>
                <w:i/>
                <w:iCs/>
                <w:color w:val="000000" w:themeColor="text1"/>
                <w:kern w:val="24"/>
                <w:sz w:val="20"/>
                <w:szCs w:val="20"/>
                <w:lang w:eastAsia="ru-RU"/>
              </w:rPr>
              <w:t>–</w:t>
            </w:r>
          </w:p>
        </w:tc>
        <w:tc>
          <w:tcPr>
            <w:tcW w:w="6798" w:type="dxa"/>
            <w:tcBorders>
              <w:top w:val="nil"/>
              <w:left w:val="nil"/>
              <w:bottom w:val="nil"/>
              <w:right w:val="nil"/>
            </w:tcBorders>
            <w:tcMar>
              <w:top w:w="15" w:type="dxa"/>
              <w:left w:w="108" w:type="dxa"/>
              <w:bottom w:w="0" w:type="dxa"/>
              <w:right w:w="108" w:type="dxa"/>
            </w:tcMar>
          </w:tcPr>
          <w:p w14:paraId="34B44065" w14:textId="3BC24D06" w:rsidR="00595FB9" w:rsidRPr="00D0645A" w:rsidRDefault="00595FB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денежный поток имущества с учетом экономического </w:t>
            </w:r>
            <w:r w:rsidR="000224E8" w:rsidRPr="00D0645A">
              <w:rPr>
                <w:rFonts w:eastAsia="Times New Roman" w:cs="Times New Roman"/>
                <w:color w:val="000000" w:themeColor="text1"/>
                <w:kern w:val="24"/>
                <w:sz w:val="20"/>
                <w:szCs w:val="20"/>
                <w:lang w:eastAsia="ru-RU"/>
              </w:rPr>
              <w:t>обесценения</w:t>
            </w:r>
            <w:r w:rsidRPr="00D0645A">
              <w:rPr>
                <w:rFonts w:eastAsia="Times New Roman" w:cs="Times New Roman"/>
                <w:color w:val="000000" w:themeColor="text1"/>
                <w:kern w:val="24"/>
                <w:sz w:val="20"/>
                <w:szCs w:val="20"/>
                <w:lang w:eastAsia="ru-RU"/>
              </w:rPr>
              <w:t xml:space="preserve">, </w:t>
            </w:r>
            <w:proofErr w:type="spellStart"/>
            <w:r w:rsidRPr="00D0645A">
              <w:rPr>
                <w:rFonts w:eastAsia="Times New Roman" w:cs="Times New Roman"/>
                <w:color w:val="000000" w:themeColor="text1"/>
                <w:kern w:val="24"/>
                <w:sz w:val="20"/>
                <w:szCs w:val="20"/>
                <w:lang w:eastAsia="ru-RU"/>
              </w:rPr>
              <w:t>ден.ед</w:t>
            </w:r>
            <w:proofErr w:type="spellEnd"/>
            <w:r w:rsidRPr="00D0645A">
              <w:rPr>
                <w:rFonts w:eastAsia="Times New Roman" w:cs="Times New Roman"/>
                <w:color w:val="000000" w:themeColor="text1"/>
                <w:kern w:val="24"/>
                <w:sz w:val="20"/>
                <w:szCs w:val="20"/>
                <w:lang w:eastAsia="ru-RU"/>
              </w:rPr>
              <w:t>.;</w:t>
            </w:r>
          </w:p>
        </w:tc>
      </w:tr>
      <w:tr w:rsidR="00595FB9" w:rsidRPr="00D0645A" w14:paraId="7E86A00E" w14:textId="77777777" w:rsidTr="00595FB9">
        <w:trPr>
          <w:trHeight w:val="268"/>
          <w:jc w:val="center"/>
        </w:trPr>
        <w:tc>
          <w:tcPr>
            <w:tcW w:w="579" w:type="dxa"/>
            <w:tcBorders>
              <w:top w:val="nil"/>
              <w:left w:val="nil"/>
              <w:bottom w:val="nil"/>
              <w:right w:val="nil"/>
            </w:tcBorders>
            <w:tcMar>
              <w:top w:w="15" w:type="dxa"/>
              <w:left w:w="108" w:type="dxa"/>
              <w:bottom w:w="0" w:type="dxa"/>
              <w:right w:w="108" w:type="dxa"/>
            </w:tcMar>
          </w:tcPr>
          <w:p w14:paraId="6F963E76" w14:textId="77777777" w:rsidR="00595FB9" w:rsidRPr="00D0645A" w:rsidRDefault="00595FB9" w:rsidP="00D0645A">
            <w:pPr>
              <w:spacing w:after="0" w:line="240" w:lineRule="auto"/>
              <w:rPr>
                <w:rFonts w:eastAsia="Times New Roman" w:cs="Times New Roman"/>
                <w:sz w:val="20"/>
                <w:szCs w:val="20"/>
                <w:lang w:eastAsia="ru-RU"/>
              </w:rPr>
            </w:pPr>
          </w:p>
        </w:tc>
        <w:tc>
          <w:tcPr>
            <w:tcW w:w="987" w:type="dxa"/>
            <w:tcBorders>
              <w:top w:val="nil"/>
              <w:left w:val="nil"/>
              <w:bottom w:val="nil"/>
              <w:right w:val="nil"/>
            </w:tcBorders>
            <w:tcMar>
              <w:top w:w="15" w:type="dxa"/>
              <w:left w:w="108" w:type="dxa"/>
              <w:bottom w:w="0" w:type="dxa"/>
              <w:right w:w="108" w:type="dxa"/>
            </w:tcMar>
          </w:tcPr>
          <w:p w14:paraId="71E73A63" w14:textId="2D01F004" w:rsidR="00595FB9" w:rsidRPr="00D0645A" w:rsidRDefault="00595FB9" w:rsidP="00D0645A">
            <w:pPr>
              <w:spacing w:after="0" w:line="240" w:lineRule="auto"/>
              <w:jc w:val="right"/>
              <w:rPr>
                <w:rFonts w:ascii="Calibri" w:eastAsia="Times New Roman" w:hAnsi="Calibri" w:cs="Times New Roman"/>
              </w:rPr>
            </w:pPr>
            <m:oMath>
              <m:r>
                <w:rPr>
                  <w:rFonts w:ascii="Cambria Math" w:hAnsi="Cambria Math"/>
                </w:rPr>
                <m:t xml:space="preserve">R </m:t>
              </m:r>
            </m:oMath>
            <w:r w:rsidRPr="00D0645A">
              <w:rPr>
                <w:rFonts w:eastAsia="Times New Roman" w:cs="Times New Roman"/>
                <w:i/>
                <w:iCs/>
                <w:color w:val="000000" w:themeColor="text1"/>
                <w:kern w:val="24"/>
                <w:sz w:val="20"/>
                <w:szCs w:val="20"/>
                <w:lang w:eastAsia="ru-RU"/>
              </w:rPr>
              <w:t>–</w:t>
            </w:r>
          </w:p>
        </w:tc>
        <w:tc>
          <w:tcPr>
            <w:tcW w:w="6798" w:type="dxa"/>
            <w:tcBorders>
              <w:top w:val="nil"/>
              <w:left w:val="nil"/>
              <w:bottom w:val="nil"/>
              <w:right w:val="nil"/>
            </w:tcBorders>
            <w:tcMar>
              <w:top w:w="15" w:type="dxa"/>
              <w:left w:w="108" w:type="dxa"/>
              <w:bottom w:w="0" w:type="dxa"/>
              <w:right w:w="108" w:type="dxa"/>
            </w:tcMar>
          </w:tcPr>
          <w:p w14:paraId="4EB7DC2E" w14:textId="536FFA77" w:rsidR="00595FB9" w:rsidRPr="00D0645A" w:rsidRDefault="00595FB9" w:rsidP="00D0645A">
            <w:pPr>
              <w:spacing w:after="0" w:line="240" w:lineRule="auto"/>
              <w:jc w:val="both"/>
              <w:rPr>
                <w:rFonts w:eastAsia="Times New Roman" w:cs="Times New Roman"/>
                <w:color w:val="000000" w:themeColor="text1"/>
                <w:kern w:val="24"/>
                <w:sz w:val="20"/>
                <w:szCs w:val="20"/>
                <w:lang w:eastAsia="ru-RU"/>
              </w:rPr>
            </w:pPr>
            <w:r w:rsidRPr="00D0645A">
              <w:rPr>
                <w:rFonts w:eastAsia="Times New Roman" w:cs="Times New Roman"/>
                <w:color w:val="000000" w:themeColor="text1"/>
                <w:kern w:val="24"/>
                <w:sz w:val="20"/>
                <w:szCs w:val="20"/>
                <w:lang w:eastAsia="ru-RU"/>
              </w:rPr>
              <w:t>ставка капитализации, доли ед.</w:t>
            </w:r>
          </w:p>
        </w:tc>
      </w:tr>
    </w:tbl>
    <w:p w14:paraId="03A6FCE2" w14:textId="77777777" w:rsidR="00DA4903" w:rsidRPr="00D0645A" w:rsidRDefault="00E93564" w:rsidP="00D0645A">
      <w:pPr>
        <w:spacing w:before="120" w:after="0" w:line="240" w:lineRule="auto"/>
        <w:ind w:firstLine="703"/>
        <w:jc w:val="both"/>
        <w:rPr>
          <w:sz w:val="24"/>
        </w:rPr>
      </w:pPr>
      <w:r w:rsidRPr="00D0645A">
        <w:rPr>
          <w:b/>
          <w:bCs/>
          <w:sz w:val="24"/>
        </w:rPr>
        <w:t>5.</w:t>
      </w:r>
      <w:r w:rsidRPr="00D0645A">
        <w:rPr>
          <w:sz w:val="24"/>
        </w:rPr>
        <w:t xml:space="preserve"> Как правило, конъюнктура рынка и </w:t>
      </w:r>
      <w:r w:rsidR="00441C47" w:rsidRPr="00D0645A">
        <w:rPr>
          <w:sz w:val="24"/>
        </w:rPr>
        <w:t xml:space="preserve">имеющаяся </w:t>
      </w:r>
      <w:r w:rsidRPr="00D0645A">
        <w:rPr>
          <w:sz w:val="24"/>
        </w:rPr>
        <w:t>в распоряжении Оценщика информация таковы, что</w:t>
      </w:r>
      <w:r w:rsidR="00DA4903" w:rsidRPr="00D0645A">
        <w:rPr>
          <w:sz w:val="24"/>
        </w:rPr>
        <w:t>:</w:t>
      </w:r>
    </w:p>
    <w:p w14:paraId="22A4C371" w14:textId="633D187C" w:rsidR="00E93564" w:rsidRPr="00D0645A" w:rsidRDefault="00DA4903" w:rsidP="00D0645A">
      <w:pPr>
        <w:spacing w:before="120" w:after="0" w:line="240" w:lineRule="auto"/>
        <w:ind w:firstLine="703"/>
        <w:jc w:val="both"/>
        <w:rPr>
          <w:sz w:val="24"/>
        </w:rPr>
      </w:pPr>
      <w:r w:rsidRPr="00D0645A">
        <w:rPr>
          <w:b/>
          <w:bCs/>
          <w:sz w:val="24"/>
        </w:rPr>
        <w:t>5.1.</w:t>
      </w:r>
      <w:r w:rsidRPr="00D0645A">
        <w:rPr>
          <w:sz w:val="24"/>
        </w:rPr>
        <w:t xml:space="preserve"> Д</w:t>
      </w:r>
      <w:r w:rsidR="00E93564" w:rsidRPr="00D0645A">
        <w:rPr>
          <w:sz w:val="24"/>
        </w:rPr>
        <w:t xml:space="preserve">ля определения экономического обесценения электросетевого имущества </w:t>
      </w:r>
      <w:r w:rsidR="00C61CA4" w:rsidRPr="00D0645A">
        <w:rPr>
          <w:sz w:val="24"/>
        </w:rPr>
        <w:t xml:space="preserve">следует использовать </w:t>
      </w:r>
      <w:r w:rsidR="00E93564" w:rsidRPr="00D0645A">
        <w:rPr>
          <w:sz w:val="24"/>
        </w:rPr>
        <w:t>метод, указанный в п. 4.</w:t>
      </w:r>
      <w:r w:rsidR="007F2177" w:rsidRPr="00D0645A">
        <w:rPr>
          <w:sz w:val="24"/>
        </w:rPr>
        <w:t>1</w:t>
      </w:r>
      <w:r w:rsidR="00C10B7E" w:rsidRPr="00D0645A">
        <w:rPr>
          <w:sz w:val="24"/>
        </w:rPr>
        <w:t>, поскольку он позволяет учесть специфику денежных потоков, связанных с конкретным имуществом, с учетом ограничений, вызванных тарифным регулированием.</w:t>
      </w:r>
    </w:p>
    <w:p w14:paraId="525E6642" w14:textId="520571DF" w:rsidR="00DA4903" w:rsidRPr="00D0645A" w:rsidRDefault="00DA4903" w:rsidP="00D0645A">
      <w:pPr>
        <w:spacing w:before="120" w:after="0" w:line="240" w:lineRule="auto"/>
        <w:ind w:firstLine="703"/>
        <w:jc w:val="both"/>
        <w:rPr>
          <w:sz w:val="24"/>
        </w:rPr>
      </w:pPr>
      <w:r w:rsidRPr="00D0645A">
        <w:rPr>
          <w:b/>
          <w:bCs/>
          <w:sz w:val="24"/>
        </w:rPr>
        <w:t>5.2.</w:t>
      </w:r>
      <w:r w:rsidRPr="00D0645A">
        <w:rPr>
          <w:sz w:val="24"/>
        </w:rPr>
        <w:t xml:space="preserve"> Применение остальных методов невозможно или обеспечивает меньшую точность:</w:t>
      </w:r>
    </w:p>
    <w:p w14:paraId="56014DCB" w14:textId="62CB4BC8" w:rsidR="00DA4903" w:rsidRPr="00D0645A" w:rsidRDefault="00DA4903" w:rsidP="00D0645A">
      <w:pPr>
        <w:pStyle w:val="a4"/>
        <w:numPr>
          <w:ilvl w:val="0"/>
          <w:numId w:val="8"/>
        </w:numPr>
        <w:spacing w:after="0" w:line="240" w:lineRule="auto"/>
        <w:ind w:left="1559" w:hanging="357"/>
        <w:jc w:val="both"/>
        <w:rPr>
          <w:sz w:val="24"/>
        </w:rPr>
      </w:pPr>
      <w:r w:rsidRPr="00D0645A">
        <w:rPr>
          <w:sz w:val="24"/>
        </w:rPr>
        <w:t>метод парного сравнения продаж – отсутствует достаточное количество объектов-аналогов, либо они существенно различаются с объектом оценки;</w:t>
      </w:r>
    </w:p>
    <w:p w14:paraId="735B1559" w14:textId="0CA6FE2D" w:rsidR="00DA4903" w:rsidRPr="00D0645A" w:rsidRDefault="00DA4903" w:rsidP="00D0645A">
      <w:pPr>
        <w:pStyle w:val="a4"/>
        <w:numPr>
          <w:ilvl w:val="0"/>
          <w:numId w:val="8"/>
        </w:numPr>
        <w:spacing w:after="0" w:line="240" w:lineRule="auto"/>
        <w:ind w:left="1559" w:hanging="357"/>
        <w:jc w:val="both"/>
        <w:rPr>
          <w:sz w:val="24"/>
        </w:rPr>
      </w:pPr>
      <w:r w:rsidRPr="00D0645A">
        <w:rPr>
          <w:sz w:val="24"/>
        </w:rPr>
        <w:t>метод капитализации (дисконтирования) потерь – отсутствуют данные о прогнозной величине денежных потоков без учета влияния экономического обесценения или определение данной величины характеризуется высокой трудоемкостью / погрешностью / использованием большого количества существенных допущений.</w:t>
      </w:r>
    </w:p>
    <w:p w14:paraId="16E177C6" w14:textId="3C3DAE64" w:rsidR="005215DE" w:rsidRPr="00D0645A" w:rsidRDefault="005215DE" w:rsidP="00D0645A">
      <w:pPr>
        <w:spacing w:before="120" w:after="0" w:line="240" w:lineRule="auto"/>
        <w:ind w:firstLine="703"/>
        <w:jc w:val="both"/>
        <w:rPr>
          <w:sz w:val="24"/>
        </w:rPr>
      </w:pPr>
      <w:r w:rsidRPr="00D0645A">
        <w:rPr>
          <w:b/>
          <w:bCs/>
          <w:sz w:val="24"/>
        </w:rPr>
        <w:t>5.3.</w:t>
      </w:r>
      <w:r w:rsidRPr="00D0645A">
        <w:rPr>
          <w:sz w:val="24"/>
        </w:rPr>
        <w:t xml:space="preserve"> При определении величины затрат на </w:t>
      </w:r>
      <w:r w:rsidR="00A31670" w:rsidRPr="00D0645A">
        <w:rPr>
          <w:sz w:val="24"/>
        </w:rPr>
        <w:t>замещение (воспроизводство)</w:t>
      </w:r>
      <w:r w:rsidRPr="00D0645A">
        <w:rPr>
          <w:sz w:val="24"/>
        </w:rPr>
        <w:t xml:space="preserve"> электросетевого имущества </w:t>
      </w:r>
      <w:r w:rsidR="000224E8" w:rsidRPr="00D0645A">
        <w:rPr>
          <w:sz w:val="24"/>
        </w:rPr>
        <w:t>рекомендуется</w:t>
      </w:r>
      <w:r w:rsidRPr="00D0645A">
        <w:rPr>
          <w:sz w:val="24"/>
        </w:rPr>
        <w:t xml:space="preserve"> учитывать положения профильного приказа Минэнерго России от 26.02.2024 №131 [</w:t>
      </w:r>
      <w:r w:rsidR="00C10B7E" w:rsidRPr="00D0645A">
        <w:rPr>
          <w:sz w:val="24"/>
        </w:rPr>
        <w:t>5</w:t>
      </w:r>
      <w:r w:rsidRPr="00D0645A">
        <w:rPr>
          <w:sz w:val="24"/>
        </w:rPr>
        <w:t xml:space="preserve">], положения которого в </w:t>
      </w:r>
      <w:proofErr w:type="gramStart"/>
      <w:r w:rsidRPr="00D0645A">
        <w:rPr>
          <w:sz w:val="24"/>
        </w:rPr>
        <w:t>т.ч.</w:t>
      </w:r>
      <w:proofErr w:type="gramEnd"/>
      <w:r w:rsidRPr="00D0645A">
        <w:rPr>
          <w:sz w:val="24"/>
        </w:rPr>
        <w:t xml:space="preserve"> используются электросетевыми компаниями при защите инвестиционных программ в тарифных решениях в Федеральной антимонопольной службе.</w:t>
      </w:r>
    </w:p>
    <w:p w14:paraId="62F3508D" w14:textId="255816E2" w:rsidR="007F2177" w:rsidRPr="00D0645A" w:rsidRDefault="00E93564" w:rsidP="00D0645A">
      <w:pPr>
        <w:spacing w:before="60" w:after="0" w:line="240" w:lineRule="auto"/>
        <w:ind w:firstLine="703"/>
        <w:jc w:val="both"/>
        <w:rPr>
          <w:sz w:val="24"/>
        </w:rPr>
      </w:pPr>
      <w:r w:rsidRPr="00D0645A">
        <w:rPr>
          <w:b/>
          <w:bCs/>
          <w:sz w:val="24"/>
        </w:rPr>
        <w:lastRenderedPageBreak/>
        <w:t>6.</w:t>
      </w:r>
      <w:r w:rsidRPr="00D0645A">
        <w:rPr>
          <w:sz w:val="24"/>
        </w:rPr>
        <w:t xml:space="preserve"> М</w:t>
      </w:r>
      <w:r w:rsidR="0063227F" w:rsidRPr="00D0645A">
        <w:rPr>
          <w:sz w:val="24"/>
        </w:rPr>
        <w:t xml:space="preserve">етоды установления тарифов и принципы в электросетевой деятельности </w:t>
      </w:r>
      <w:r w:rsidR="007F2177" w:rsidRPr="00D0645A">
        <w:rPr>
          <w:sz w:val="24"/>
        </w:rPr>
        <w:t>закреплены</w:t>
      </w:r>
      <w:r w:rsidR="0063227F" w:rsidRPr="00D0645A">
        <w:rPr>
          <w:sz w:val="24"/>
        </w:rPr>
        <w:t xml:space="preserve"> в </w:t>
      </w:r>
      <w:r w:rsidRPr="00D0645A">
        <w:rPr>
          <w:sz w:val="24"/>
        </w:rPr>
        <w:t>Постановлении Правительства о ценообразовании в электроэнергетике [</w:t>
      </w:r>
      <w:r w:rsidR="00C10B7E" w:rsidRPr="00D0645A">
        <w:rPr>
          <w:sz w:val="24"/>
        </w:rPr>
        <w:t>4</w:t>
      </w:r>
      <w:r w:rsidRPr="00D0645A">
        <w:rPr>
          <w:sz w:val="24"/>
        </w:rPr>
        <w:t>]</w:t>
      </w:r>
      <w:r w:rsidR="0063227F" w:rsidRPr="00D0645A">
        <w:rPr>
          <w:sz w:val="24"/>
        </w:rPr>
        <w:t xml:space="preserve">. </w:t>
      </w:r>
      <w:r w:rsidR="007F2177" w:rsidRPr="00D0645A">
        <w:rPr>
          <w:sz w:val="24"/>
        </w:rPr>
        <w:t>В соответствии с</w:t>
      </w:r>
      <w:r w:rsidR="005844EE" w:rsidRPr="00D0645A">
        <w:rPr>
          <w:sz w:val="24"/>
        </w:rPr>
        <w:t> </w:t>
      </w:r>
      <w:r w:rsidR="007F2177" w:rsidRPr="00D0645A">
        <w:rPr>
          <w:sz w:val="24"/>
        </w:rPr>
        <w:t xml:space="preserve">п. 12 </w:t>
      </w:r>
      <w:r w:rsidR="00441C47" w:rsidRPr="00D0645A">
        <w:rPr>
          <w:sz w:val="24"/>
        </w:rPr>
        <w:t xml:space="preserve">Постановления </w:t>
      </w:r>
      <w:r w:rsidR="007F2177" w:rsidRPr="00D0645A">
        <w:rPr>
          <w:sz w:val="24"/>
        </w:rPr>
        <w:t>Правительства о ценообразовании в электроэнергетике применяются следующие методы определения размера тарифа:</w:t>
      </w:r>
    </w:p>
    <w:p w14:paraId="2B6611BB" w14:textId="7907A890" w:rsidR="007F2177" w:rsidRPr="00D0645A" w:rsidRDefault="007F2177" w:rsidP="00D0645A">
      <w:pPr>
        <w:pStyle w:val="a4"/>
        <w:numPr>
          <w:ilvl w:val="0"/>
          <w:numId w:val="8"/>
        </w:numPr>
        <w:spacing w:after="0" w:line="240" w:lineRule="auto"/>
        <w:ind w:left="1559" w:hanging="357"/>
        <w:jc w:val="both"/>
        <w:rPr>
          <w:sz w:val="24"/>
        </w:rPr>
      </w:pPr>
      <w:r w:rsidRPr="00D0645A">
        <w:rPr>
          <w:sz w:val="24"/>
        </w:rPr>
        <w:t>метод экономически обоснованных расходов («Затраты +»);</w:t>
      </w:r>
    </w:p>
    <w:p w14:paraId="05C30AFA" w14:textId="77777777" w:rsidR="007F2177" w:rsidRPr="00D0645A" w:rsidRDefault="007F2177" w:rsidP="00D0645A">
      <w:pPr>
        <w:pStyle w:val="a4"/>
        <w:numPr>
          <w:ilvl w:val="0"/>
          <w:numId w:val="8"/>
        </w:numPr>
        <w:spacing w:after="0" w:line="240" w:lineRule="auto"/>
        <w:ind w:left="1559" w:hanging="357"/>
        <w:jc w:val="both"/>
        <w:rPr>
          <w:sz w:val="24"/>
        </w:rPr>
      </w:pPr>
      <w:r w:rsidRPr="00D0645A">
        <w:rPr>
          <w:sz w:val="24"/>
        </w:rPr>
        <w:t>метод долгосрочной индексации необходимой валовой выручки (ИНВВ);</w:t>
      </w:r>
    </w:p>
    <w:p w14:paraId="2688DCB5" w14:textId="77777777" w:rsidR="007F2177" w:rsidRPr="00D0645A" w:rsidRDefault="007F2177" w:rsidP="00D0645A">
      <w:pPr>
        <w:pStyle w:val="a4"/>
        <w:numPr>
          <w:ilvl w:val="0"/>
          <w:numId w:val="8"/>
        </w:numPr>
        <w:spacing w:after="0" w:line="240" w:lineRule="auto"/>
        <w:ind w:left="1559" w:hanging="357"/>
        <w:jc w:val="both"/>
        <w:rPr>
          <w:sz w:val="24"/>
        </w:rPr>
      </w:pPr>
      <w:r w:rsidRPr="00D0645A">
        <w:rPr>
          <w:sz w:val="24"/>
        </w:rPr>
        <w:t>метод доходности инвестированного капитала (RAB);</w:t>
      </w:r>
    </w:p>
    <w:p w14:paraId="6B87D4F5" w14:textId="77777777" w:rsidR="007F2177" w:rsidRPr="00D0645A" w:rsidRDefault="007F2177" w:rsidP="00D0645A">
      <w:pPr>
        <w:pStyle w:val="a4"/>
        <w:numPr>
          <w:ilvl w:val="0"/>
          <w:numId w:val="8"/>
        </w:numPr>
        <w:spacing w:after="0" w:line="240" w:lineRule="auto"/>
        <w:ind w:left="1559" w:hanging="357"/>
        <w:jc w:val="both"/>
        <w:rPr>
          <w:sz w:val="24"/>
        </w:rPr>
      </w:pPr>
      <w:r w:rsidRPr="00D0645A">
        <w:rPr>
          <w:sz w:val="24"/>
        </w:rPr>
        <w:t>метод индексации тарифов;</w:t>
      </w:r>
    </w:p>
    <w:p w14:paraId="5501A69A" w14:textId="77777777" w:rsidR="007F2177" w:rsidRPr="00D0645A" w:rsidRDefault="007F2177" w:rsidP="00D0645A">
      <w:pPr>
        <w:pStyle w:val="a4"/>
        <w:numPr>
          <w:ilvl w:val="0"/>
          <w:numId w:val="8"/>
        </w:numPr>
        <w:spacing w:after="0" w:line="240" w:lineRule="auto"/>
        <w:ind w:left="1559" w:hanging="357"/>
        <w:jc w:val="both"/>
        <w:rPr>
          <w:sz w:val="24"/>
        </w:rPr>
      </w:pPr>
      <w:r w:rsidRPr="00D0645A">
        <w:rPr>
          <w:sz w:val="24"/>
        </w:rPr>
        <w:t>метод сравнения аналогов.</w:t>
      </w:r>
    </w:p>
    <w:p w14:paraId="66A6C748" w14:textId="2D5C0000" w:rsidR="0063227F" w:rsidRPr="00D0645A" w:rsidRDefault="00E93564" w:rsidP="00D0645A">
      <w:pPr>
        <w:spacing w:before="120" w:after="0" w:line="240" w:lineRule="auto"/>
        <w:ind w:firstLine="703"/>
        <w:jc w:val="both"/>
        <w:rPr>
          <w:sz w:val="24"/>
        </w:rPr>
      </w:pPr>
      <w:r w:rsidRPr="00D0645A">
        <w:rPr>
          <w:b/>
          <w:bCs/>
          <w:sz w:val="24"/>
        </w:rPr>
        <w:t>7.</w:t>
      </w:r>
      <w:r w:rsidRPr="00D0645A">
        <w:rPr>
          <w:sz w:val="24"/>
        </w:rPr>
        <w:t xml:space="preserve"> </w:t>
      </w:r>
      <w:r w:rsidR="007F2177" w:rsidRPr="00D0645A">
        <w:rPr>
          <w:sz w:val="24"/>
        </w:rPr>
        <w:t xml:space="preserve">Величины </w:t>
      </w:r>
      <w:r w:rsidR="00A31670" w:rsidRPr="00D0645A">
        <w:rPr>
          <w:sz w:val="24"/>
        </w:rPr>
        <w:t xml:space="preserve">экономического </w:t>
      </w:r>
      <w:r w:rsidR="007F2177" w:rsidRPr="00D0645A">
        <w:rPr>
          <w:sz w:val="24"/>
        </w:rPr>
        <w:t xml:space="preserve">обесценения электросетевого имущества </w:t>
      </w:r>
      <w:r w:rsidR="00441C47" w:rsidRPr="00D0645A">
        <w:rPr>
          <w:sz w:val="24"/>
        </w:rPr>
        <w:t xml:space="preserve">определяются </w:t>
      </w:r>
      <w:r w:rsidR="007F2177" w:rsidRPr="00D0645A">
        <w:rPr>
          <w:sz w:val="24"/>
        </w:rPr>
        <w:t>с</w:t>
      </w:r>
      <w:r w:rsidR="00A31670" w:rsidRPr="00D0645A">
        <w:rPr>
          <w:sz w:val="24"/>
        </w:rPr>
        <w:t> </w:t>
      </w:r>
      <w:r w:rsidR="007F2177" w:rsidRPr="00D0645A">
        <w:rPr>
          <w:sz w:val="24"/>
        </w:rPr>
        <w:t xml:space="preserve">учетом действующего законодательства в области электросетевой деятельности и принимаемых тарифных решений </w:t>
      </w:r>
      <w:r w:rsidR="007F2177" w:rsidRPr="00D0645A">
        <w:rPr>
          <w:b/>
          <w:bCs/>
          <w:sz w:val="24"/>
        </w:rPr>
        <w:t>в конкретном регионе</w:t>
      </w:r>
      <w:r w:rsidR="007F2177" w:rsidRPr="00D0645A">
        <w:rPr>
          <w:sz w:val="24"/>
        </w:rPr>
        <w:t xml:space="preserve"> (регионе расположения электросетевого имущества). В зависимости от региона </w:t>
      </w:r>
      <w:r w:rsidR="0063227F" w:rsidRPr="00D0645A">
        <w:rPr>
          <w:sz w:val="24"/>
        </w:rPr>
        <w:t>метод</w:t>
      </w:r>
      <w:r w:rsidR="007F2177" w:rsidRPr="00D0645A">
        <w:rPr>
          <w:sz w:val="24"/>
        </w:rPr>
        <w:t>ы</w:t>
      </w:r>
      <w:r w:rsidR="0063227F" w:rsidRPr="00D0645A">
        <w:rPr>
          <w:sz w:val="24"/>
        </w:rPr>
        <w:t xml:space="preserve"> расчета тарифа для сетевой организации </w:t>
      </w:r>
      <w:r w:rsidRPr="00D0645A">
        <w:rPr>
          <w:sz w:val="24"/>
        </w:rPr>
        <w:t>имеют специфику в</w:t>
      </w:r>
      <w:r w:rsidR="007F2177" w:rsidRPr="00D0645A">
        <w:rPr>
          <w:sz w:val="24"/>
        </w:rPr>
        <w:t> </w:t>
      </w:r>
      <w:r w:rsidRPr="00D0645A">
        <w:rPr>
          <w:sz w:val="24"/>
        </w:rPr>
        <w:t>части р</w:t>
      </w:r>
      <w:r w:rsidR="0063227F" w:rsidRPr="00D0645A">
        <w:rPr>
          <w:sz w:val="24"/>
        </w:rPr>
        <w:t>азмер</w:t>
      </w:r>
      <w:r w:rsidRPr="00D0645A">
        <w:rPr>
          <w:sz w:val="24"/>
        </w:rPr>
        <w:t>а</w:t>
      </w:r>
      <w:r w:rsidR="0063227F" w:rsidRPr="00D0645A">
        <w:rPr>
          <w:sz w:val="24"/>
        </w:rPr>
        <w:t xml:space="preserve"> прибыли</w:t>
      </w:r>
      <w:r w:rsidR="001A7C74" w:rsidRPr="00D0645A">
        <w:rPr>
          <w:sz w:val="24"/>
        </w:rPr>
        <w:t xml:space="preserve"> электросетевой компании</w:t>
      </w:r>
      <w:r w:rsidR="0063227F" w:rsidRPr="00D0645A">
        <w:rPr>
          <w:sz w:val="24"/>
        </w:rPr>
        <w:t xml:space="preserve"> и перечн</w:t>
      </w:r>
      <w:r w:rsidR="007F2177" w:rsidRPr="00D0645A">
        <w:rPr>
          <w:sz w:val="24"/>
        </w:rPr>
        <w:t>я</w:t>
      </w:r>
      <w:r w:rsidR="0063227F" w:rsidRPr="00D0645A">
        <w:rPr>
          <w:sz w:val="24"/>
        </w:rPr>
        <w:t xml:space="preserve"> расходов, которые можно компенсировать за счет тарифа. </w:t>
      </w:r>
    </w:p>
    <w:p w14:paraId="4CC26D4E" w14:textId="068333A7" w:rsidR="00A31670" w:rsidRPr="00D0645A" w:rsidRDefault="00DA4903" w:rsidP="00D0645A">
      <w:pPr>
        <w:spacing w:before="120" w:after="0" w:line="240" w:lineRule="auto"/>
        <w:ind w:firstLine="703"/>
        <w:jc w:val="both"/>
        <w:rPr>
          <w:sz w:val="24"/>
        </w:rPr>
      </w:pPr>
      <w:r w:rsidRPr="00D0645A">
        <w:rPr>
          <w:b/>
          <w:bCs/>
          <w:sz w:val="24"/>
        </w:rPr>
        <w:t>8.</w:t>
      </w:r>
      <w:r w:rsidRPr="00D0645A">
        <w:rPr>
          <w:sz w:val="24"/>
        </w:rPr>
        <w:t xml:space="preserve"> </w:t>
      </w:r>
      <w:r w:rsidR="0025128F" w:rsidRPr="00D0645A">
        <w:rPr>
          <w:sz w:val="24"/>
        </w:rPr>
        <w:t xml:space="preserve">Распространенные специфические </w:t>
      </w:r>
      <w:r w:rsidR="00A31670" w:rsidRPr="00D0645A">
        <w:rPr>
          <w:sz w:val="24"/>
        </w:rPr>
        <w:t>ошибки при определении величины экономического обесценения электросетевого имущества:</w:t>
      </w:r>
    </w:p>
    <w:p w14:paraId="259E0753" w14:textId="65A571DF" w:rsidR="0025128F" w:rsidRPr="00D0645A" w:rsidRDefault="0025128F" w:rsidP="00D0645A">
      <w:pPr>
        <w:pStyle w:val="a4"/>
        <w:numPr>
          <w:ilvl w:val="0"/>
          <w:numId w:val="8"/>
        </w:numPr>
        <w:spacing w:after="0" w:line="240" w:lineRule="auto"/>
        <w:ind w:left="1559" w:hanging="357"/>
        <w:jc w:val="both"/>
        <w:rPr>
          <w:sz w:val="24"/>
        </w:rPr>
      </w:pPr>
      <w:r w:rsidRPr="00D0645A">
        <w:rPr>
          <w:sz w:val="24"/>
        </w:rPr>
        <w:t xml:space="preserve">неучет фактора локального расположения объекта оценки (например, </w:t>
      </w:r>
      <w:r w:rsidR="00B87D61" w:rsidRPr="00D0645A">
        <w:rPr>
          <w:sz w:val="24"/>
        </w:rPr>
        <w:t>выбранн</w:t>
      </w:r>
      <w:r w:rsidR="005B1BED" w:rsidRPr="00D0645A">
        <w:rPr>
          <w:sz w:val="24"/>
        </w:rPr>
        <w:t xml:space="preserve">ого </w:t>
      </w:r>
      <w:r w:rsidR="00B87D61" w:rsidRPr="00D0645A">
        <w:rPr>
          <w:sz w:val="24"/>
        </w:rPr>
        <w:t>метод</w:t>
      </w:r>
      <w:r w:rsidR="005B1BED" w:rsidRPr="00D0645A">
        <w:rPr>
          <w:sz w:val="24"/>
        </w:rPr>
        <w:t>а</w:t>
      </w:r>
      <w:r w:rsidR="00B87D61" w:rsidRPr="00D0645A">
        <w:rPr>
          <w:sz w:val="24"/>
        </w:rPr>
        <w:t xml:space="preserve"> тарифного регулирования, размера утверждаемых в регионе параметров </w:t>
      </w:r>
      <w:r w:rsidR="000224E8" w:rsidRPr="00D0645A">
        <w:rPr>
          <w:sz w:val="24"/>
        </w:rPr>
        <w:t>необходимой валовой выручки (</w:t>
      </w:r>
      <w:r w:rsidR="00B87D61" w:rsidRPr="00D0645A">
        <w:rPr>
          <w:sz w:val="24"/>
        </w:rPr>
        <w:t>НВВ</w:t>
      </w:r>
      <w:r w:rsidR="000224E8" w:rsidRPr="00D0645A">
        <w:rPr>
          <w:sz w:val="24"/>
        </w:rPr>
        <w:t>)</w:t>
      </w:r>
      <w:r w:rsidR="00B87D61" w:rsidRPr="00D0645A">
        <w:rPr>
          <w:sz w:val="24"/>
        </w:rPr>
        <w:t>, степени загрузки активов</w:t>
      </w:r>
      <w:r w:rsidR="000224E8" w:rsidRPr="00D0645A">
        <w:rPr>
          <w:sz w:val="24"/>
        </w:rPr>
        <w:br/>
      </w:r>
      <w:r w:rsidR="00B87D61" w:rsidRPr="00D0645A">
        <w:rPr>
          <w:sz w:val="24"/>
        </w:rPr>
        <w:t xml:space="preserve">в соответствии с </w:t>
      </w:r>
      <w:r w:rsidR="000224E8" w:rsidRPr="00D0645A">
        <w:rPr>
          <w:sz w:val="24"/>
        </w:rPr>
        <w:t>профильными Методическими указаниями от 24.12.2014 №2390-э [</w:t>
      </w:r>
      <w:r w:rsidR="00C10B7E" w:rsidRPr="00D0645A">
        <w:rPr>
          <w:sz w:val="24"/>
        </w:rPr>
        <w:t>6</w:t>
      </w:r>
      <w:r w:rsidR="000224E8" w:rsidRPr="00D0645A">
        <w:rPr>
          <w:sz w:val="24"/>
        </w:rPr>
        <w:t>]</w:t>
      </w:r>
      <w:r w:rsidRPr="00D0645A">
        <w:rPr>
          <w:sz w:val="24"/>
        </w:rPr>
        <w:t>);</w:t>
      </w:r>
    </w:p>
    <w:p w14:paraId="3015BAE7" w14:textId="31E17D93" w:rsidR="0025128F" w:rsidRPr="00D0645A" w:rsidRDefault="0025128F" w:rsidP="00D0645A">
      <w:pPr>
        <w:pStyle w:val="a4"/>
        <w:numPr>
          <w:ilvl w:val="0"/>
          <w:numId w:val="8"/>
        </w:numPr>
        <w:spacing w:after="0" w:line="240" w:lineRule="auto"/>
        <w:ind w:left="1559" w:hanging="357"/>
        <w:jc w:val="both"/>
        <w:rPr>
          <w:sz w:val="24"/>
        </w:rPr>
      </w:pPr>
      <w:r w:rsidRPr="00D0645A">
        <w:rPr>
          <w:sz w:val="24"/>
        </w:rPr>
        <w:t xml:space="preserve">неучет фактического состояния объекта оценки, в </w:t>
      </w:r>
      <w:proofErr w:type="gramStart"/>
      <w:r w:rsidRPr="00D0645A">
        <w:rPr>
          <w:sz w:val="24"/>
        </w:rPr>
        <w:t>т.ч.</w:t>
      </w:r>
      <w:proofErr w:type="gramEnd"/>
      <w:r w:rsidRPr="00D0645A">
        <w:rPr>
          <w:sz w:val="24"/>
        </w:rPr>
        <w:t xml:space="preserve"> в части прогнозных вложений на поддержание его работоспособности;</w:t>
      </w:r>
    </w:p>
    <w:p w14:paraId="4AD59C34" w14:textId="70ACE5CE" w:rsidR="0025128F" w:rsidRPr="00D0645A" w:rsidRDefault="0025128F" w:rsidP="00D0645A">
      <w:pPr>
        <w:pStyle w:val="a4"/>
        <w:numPr>
          <w:ilvl w:val="0"/>
          <w:numId w:val="8"/>
        </w:numPr>
        <w:spacing w:after="0" w:line="240" w:lineRule="auto"/>
        <w:ind w:left="1559" w:hanging="357"/>
        <w:jc w:val="both"/>
        <w:rPr>
          <w:sz w:val="24"/>
        </w:rPr>
      </w:pPr>
      <w:r w:rsidRPr="00D0645A">
        <w:rPr>
          <w:sz w:val="24"/>
        </w:rPr>
        <w:t>неучет прогнозного изменения действующих тарифов, информация о которых уже была известна на дату оценки;</w:t>
      </w:r>
    </w:p>
    <w:p w14:paraId="3B03C0C1" w14:textId="170E6629" w:rsidR="002659ED" w:rsidRPr="00D0645A" w:rsidRDefault="002659ED" w:rsidP="00D0645A">
      <w:pPr>
        <w:pStyle w:val="a4"/>
        <w:numPr>
          <w:ilvl w:val="0"/>
          <w:numId w:val="8"/>
        </w:numPr>
        <w:spacing w:after="0" w:line="240" w:lineRule="auto"/>
        <w:ind w:left="1559" w:hanging="357"/>
        <w:jc w:val="both"/>
        <w:rPr>
          <w:sz w:val="24"/>
        </w:rPr>
      </w:pPr>
      <w:r w:rsidRPr="00D0645A">
        <w:rPr>
          <w:sz w:val="24"/>
        </w:rPr>
        <w:t>неучет состава затрат, характеризующего используемый в расчетах показатель стоимости строительства</w:t>
      </w:r>
      <w:r w:rsidRPr="00D0645A">
        <w:rPr>
          <w:rStyle w:val="aa"/>
          <w:sz w:val="24"/>
        </w:rPr>
        <w:footnoteReference w:id="3"/>
      </w:r>
      <w:r w:rsidRPr="00D0645A">
        <w:rPr>
          <w:sz w:val="24"/>
        </w:rPr>
        <w:t>, и его соотношения с составом затрат, необходимым для создания объекта оценки (</w:t>
      </w:r>
      <w:r w:rsidR="000224E8" w:rsidRPr="00D0645A">
        <w:rPr>
          <w:sz w:val="24"/>
        </w:rPr>
        <w:t>проектные-изыскательские работы</w:t>
      </w:r>
      <w:r w:rsidR="00B87D61" w:rsidRPr="00D0645A">
        <w:rPr>
          <w:sz w:val="24"/>
        </w:rPr>
        <w:t xml:space="preserve">, </w:t>
      </w:r>
      <w:r w:rsidRPr="00D0645A">
        <w:rPr>
          <w:sz w:val="24"/>
        </w:rPr>
        <w:t>материалы, работы, накладные расходы, норма прибыли);</w:t>
      </w:r>
    </w:p>
    <w:p w14:paraId="624AA267" w14:textId="4ECD60F6" w:rsidR="0025128F" w:rsidRPr="00D0645A" w:rsidRDefault="0025128F" w:rsidP="00D0645A">
      <w:pPr>
        <w:pStyle w:val="a4"/>
        <w:numPr>
          <w:ilvl w:val="0"/>
          <w:numId w:val="8"/>
        </w:numPr>
        <w:spacing w:after="0" w:line="240" w:lineRule="auto"/>
        <w:ind w:left="1559" w:hanging="357"/>
        <w:jc w:val="both"/>
        <w:rPr>
          <w:sz w:val="24"/>
        </w:rPr>
      </w:pPr>
      <w:r w:rsidRPr="00D0645A">
        <w:rPr>
          <w:sz w:val="24"/>
        </w:rPr>
        <w:t>неучет существенных различий между объектом-аналогом и объектом оценки</w:t>
      </w:r>
      <w:r w:rsidR="002659ED" w:rsidRPr="00D0645A">
        <w:rPr>
          <w:sz w:val="24"/>
        </w:rPr>
        <w:t xml:space="preserve"> (в </w:t>
      </w:r>
      <w:proofErr w:type="gramStart"/>
      <w:r w:rsidR="002659ED" w:rsidRPr="00D0645A">
        <w:rPr>
          <w:sz w:val="24"/>
        </w:rPr>
        <w:t>т.ч.</w:t>
      </w:r>
      <w:proofErr w:type="gramEnd"/>
      <w:r w:rsidR="002659ED" w:rsidRPr="00D0645A">
        <w:rPr>
          <w:sz w:val="24"/>
        </w:rPr>
        <w:t xml:space="preserve"> в датах оценки и дате оферты)</w:t>
      </w:r>
      <w:r w:rsidRPr="00D0645A">
        <w:rPr>
          <w:sz w:val="24"/>
        </w:rPr>
        <w:t>.</w:t>
      </w:r>
    </w:p>
    <w:p w14:paraId="3072EB86" w14:textId="3F805DCC" w:rsidR="00DA4903" w:rsidRPr="00D0645A" w:rsidRDefault="00A31670" w:rsidP="00D0645A">
      <w:pPr>
        <w:spacing w:before="120" w:after="0" w:line="240" w:lineRule="auto"/>
        <w:ind w:firstLine="703"/>
        <w:jc w:val="both"/>
        <w:rPr>
          <w:sz w:val="24"/>
        </w:rPr>
      </w:pPr>
      <w:r w:rsidRPr="00D0645A">
        <w:rPr>
          <w:b/>
          <w:bCs/>
          <w:sz w:val="24"/>
        </w:rPr>
        <w:t>9.</w:t>
      </w:r>
      <w:r w:rsidRPr="00D0645A">
        <w:rPr>
          <w:sz w:val="24"/>
        </w:rPr>
        <w:t xml:space="preserve"> </w:t>
      </w:r>
      <w:r w:rsidR="00DA4903" w:rsidRPr="00D0645A">
        <w:rPr>
          <w:sz w:val="24"/>
        </w:rPr>
        <w:t xml:space="preserve">Методическая основа </w:t>
      </w:r>
      <w:proofErr w:type="spellStart"/>
      <w:r w:rsidR="00DA4903" w:rsidRPr="00D0645A">
        <w:rPr>
          <w:sz w:val="24"/>
        </w:rPr>
        <w:t>МРз</w:t>
      </w:r>
      <w:proofErr w:type="spellEnd"/>
      <w:r w:rsidR="00DA4903" w:rsidRPr="00D0645A">
        <w:rPr>
          <w:sz w:val="24"/>
        </w:rPr>
        <w:t xml:space="preserve"> может быть использована для определения экономического обесценения иного имущества (объектов оценки).</w:t>
      </w:r>
    </w:p>
    <w:bookmarkEnd w:id="0"/>
    <w:p w14:paraId="25036BD7" w14:textId="79D19329" w:rsidR="009D615D" w:rsidRPr="00D0645A" w:rsidRDefault="00386CAE" w:rsidP="00D0645A">
      <w:pPr>
        <w:tabs>
          <w:tab w:val="left" w:pos="0"/>
        </w:tabs>
        <w:spacing w:before="360" w:after="0" w:line="240" w:lineRule="auto"/>
        <w:jc w:val="both"/>
        <w:rPr>
          <w:bCs/>
          <w:sz w:val="24"/>
          <w:szCs w:val="24"/>
        </w:rPr>
      </w:pPr>
      <w:r w:rsidRPr="00D0645A">
        <w:rPr>
          <w:sz w:val="24"/>
          <w:szCs w:val="24"/>
        </w:rPr>
        <w:t>Источники</w:t>
      </w:r>
      <w:r w:rsidR="0024648E" w:rsidRPr="00D0645A">
        <w:rPr>
          <w:bCs/>
          <w:sz w:val="24"/>
          <w:szCs w:val="24"/>
        </w:rPr>
        <w:t>:</w:t>
      </w:r>
    </w:p>
    <w:p w14:paraId="06B59FBA" w14:textId="77777777" w:rsidR="001A7C74" w:rsidRPr="00D0645A" w:rsidRDefault="001A7C74" w:rsidP="00D0645A">
      <w:pPr>
        <w:pStyle w:val="a4"/>
        <w:numPr>
          <w:ilvl w:val="0"/>
          <w:numId w:val="1"/>
        </w:numPr>
        <w:tabs>
          <w:tab w:val="left" w:pos="0"/>
        </w:tabs>
        <w:spacing w:before="120" w:after="0" w:line="240" w:lineRule="auto"/>
        <w:ind w:left="425" w:hanging="425"/>
        <w:contextualSpacing w:val="0"/>
        <w:jc w:val="both"/>
        <w:rPr>
          <w:sz w:val="24"/>
          <w:szCs w:val="24"/>
        </w:rPr>
      </w:pPr>
      <w:r w:rsidRPr="00D0645A">
        <w:rPr>
          <w:sz w:val="24"/>
          <w:szCs w:val="24"/>
        </w:rPr>
        <w:t>Федеральный закон «О государственной судебно-экспертной деятельности в РФ» от 31.05.2001 №73-ФЗ.</w:t>
      </w:r>
    </w:p>
    <w:p w14:paraId="192FF5B8" w14:textId="77777777" w:rsidR="00C10B7E" w:rsidRPr="00D0645A" w:rsidRDefault="00C10B7E" w:rsidP="00D0645A">
      <w:pPr>
        <w:pStyle w:val="a4"/>
        <w:numPr>
          <w:ilvl w:val="0"/>
          <w:numId w:val="1"/>
        </w:numPr>
        <w:tabs>
          <w:tab w:val="left" w:pos="0"/>
        </w:tabs>
        <w:spacing w:after="0" w:line="240" w:lineRule="auto"/>
        <w:ind w:left="426" w:hanging="426"/>
        <w:contextualSpacing w:val="0"/>
        <w:jc w:val="both"/>
        <w:rPr>
          <w:sz w:val="24"/>
          <w:szCs w:val="24"/>
        </w:rPr>
      </w:pPr>
      <w:r w:rsidRPr="00D0645A">
        <w:rPr>
          <w:sz w:val="24"/>
          <w:szCs w:val="24"/>
        </w:rPr>
        <w:t>Федеральный закон "Об оценочной деятельности в Российской Федерации" от 29.07.1998 N 135-ФЗ.</w:t>
      </w:r>
    </w:p>
    <w:p w14:paraId="211FF79B" w14:textId="36FD877E" w:rsidR="00E93564" w:rsidRPr="00D0645A" w:rsidRDefault="00E93564" w:rsidP="00D0645A">
      <w:pPr>
        <w:pStyle w:val="a4"/>
        <w:numPr>
          <w:ilvl w:val="0"/>
          <w:numId w:val="1"/>
        </w:numPr>
        <w:tabs>
          <w:tab w:val="left" w:pos="0"/>
        </w:tabs>
        <w:spacing w:after="0" w:line="240" w:lineRule="auto"/>
        <w:ind w:left="426" w:hanging="426"/>
        <w:contextualSpacing w:val="0"/>
        <w:jc w:val="both"/>
        <w:rPr>
          <w:sz w:val="24"/>
          <w:szCs w:val="24"/>
        </w:rPr>
      </w:pPr>
      <w:r w:rsidRPr="00D0645A">
        <w:rPr>
          <w:sz w:val="24"/>
          <w:szCs w:val="24"/>
        </w:rPr>
        <w:t xml:space="preserve">Федеральный стандарт оценки «Подходы и методы оценки (ФСО </w:t>
      </w:r>
      <w:r w:rsidRPr="00D0645A">
        <w:rPr>
          <w:sz w:val="24"/>
          <w:szCs w:val="24"/>
          <w:lang w:val="en-US"/>
        </w:rPr>
        <w:t>V</w:t>
      </w:r>
      <w:r w:rsidRPr="00D0645A">
        <w:rPr>
          <w:sz w:val="24"/>
          <w:szCs w:val="24"/>
        </w:rPr>
        <w:t>)», утвержденный приказом Минэкономразвития России от 14.04.2022 № 200.</w:t>
      </w:r>
    </w:p>
    <w:p w14:paraId="3C56E00E" w14:textId="0A8CC0EB" w:rsidR="00E93564" w:rsidRPr="00D0645A" w:rsidRDefault="00E93564" w:rsidP="00D0645A">
      <w:pPr>
        <w:pStyle w:val="a4"/>
        <w:numPr>
          <w:ilvl w:val="0"/>
          <w:numId w:val="1"/>
        </w:numPr>
        <w:tabs>
          <w:tab w:val="left" w:pos="0"/>
        </w:tabs>
        <w:spacing w:after="0" w:line="240" w:lineRule="auto"/>
        <w:ind w:left="426" w:hanging="426"/>
        <w:contextualSpacing w:val="0"/>
        <w:jc w:val="both"/>
        <w:rPr>
          <w:sz w:val="24"/>
          <w:szCs w:val="24"/>
        </w:rPr>
      </w:pPr>
      <w:r w:rsidRPr="00D0645A">
        <w:rPr>
          <w:sz w:val="24"/>
        </w:rPr>
        <w:t xml:space="preserve">Постановление Правительства РФ </w:t>
      </w:r>
      <w:r w:rsidR="00366341" w:rsidRPr="00D0645A">
        <w:rPr>
          <w:sz w:val="24"/>
        </w:rPr>
        <w:t xml:space="preserve">№ </w:t>
      </w:r>
      <w:r w:rsidRPr="00D0645A">
        <w:rPr>
          <w:sz w:val="24"/>
        </w:rPr>
        <w:t>1178 «О ценообразовании в области регулируемых цен (тарифов) в электроэнергетике» от 29.12.2011.</w:t>
      </w:r>
    </w:p>
    <w:p w14:paraId="72B2B0F4" w14:textId="7BB3D66A" w:rsidR="005215DE" w:rsidRPr="00D0645A" w:rsidRDefault="005215DE" w:rsidP="00D0645A">
      <w:pPr>
        <w:pStyle w:val="a4"/>
        <w:numPr>
          <w:ilvl w:val="0"/>
          <w:numId w:val="1"/>
        </w:numPr>
        <w:tabs>
          <w:tab w:val="left" w:pos="0"/>
        </w:tabs>
        <w:spacing w:after="0" w:line="240" w:lineRule="auto"/>
        <w:ind w:left="426" w:hanging="426"/>
        <w:contextualSpacing w:val="0"/>
        <w:jc w:val="both"/>
        <w:rPr>
          <w:sz w:val="24"/>
          <w:szCs w:val="24"/>
        </w:rPr>
      </w:pPr>
      <w:r w:rsidRPr="00D0645A">
        <w:rPr>
          <w:sz w:val="24"/>
        </w:rPr>
        <w:lastRenderedPageBreak/>
        <w:t xml:space="preserve">Министерство энергетики Российской Федерации. </w:t>
      </w:r>
      <w:bookmarkStart w:id="1" w:name="h818"/>
      <w:bookmarkEnd w:id="1"/>
      <w:r w:rsidRPr="00D0645A">
        <w:rPr>
          <w:sz w:val="24"/>
        </w:rPr>
        <w:t>Приказ от 26.02.2024 N 131 «Об утверждении укрупненных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w:t>
      </w:r>
      <w:r w:rsidR="009609BA" w:rsidRPr="00D0645A">
        <w:rPr>
          <w:sz w:val="24"/>
        </w:rPr>
        <w:t>.</w:t>
      </w:r>
    </w:p>
    <w:p w14:paraId="0A7FBCF2" w14:textId="5A26A778" w:rsidR="000224E8" w:rsidRPr="00D0645A" w:rsidRDefault="000224E8" w:rsidP="00D0645A">
      <w:pPr>
        <w:pStyle w:val="a4"/>
        <w:numPr>
          <w:ilvl w:val="0"/>
          <w:numId w:val="1"/>
        </w:numPr>
        <w:tabs>
          <w:tab w:val="left" w:pos="0"/>
        </w:tabs>
        <w:spacing w:after="0" w:line="240" w:lineRule="auto"/>
        <w:ind w:left="426" w:hanging="426"/>
        <w:contextualSpacing w:val="0"/>
        <w:jc w:val="both"/>
        <w:rPr>
          <w:sz w:val="24"/>
          <w:szCs w:val="24"/>
        </w:rPr>
      </w:pPr>
      <w:r w:rsidRPr="00D0645A">
        <w:rPr>
          <w:sz w:val="24"/>
        </w:rPr>
        <w:t>«Методические указания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 утв. приказом Федеральной службы по</w:t>
      </w:r>
      <w:r w:rsidR="00E17803" w:rsidRPr="00D0645A">
        <w:rPr>
          <w:sz w:val="24"/>
        </w:rPr>
        <w:t> </w:t>
      </w:r>
      <w:r w:rsidRPr="00D0645A">
        <w:rPr>
          <w:sz w:val="24"/>
        </w:rPr>
        <w:t>тарифам от 24</w:t>
      </w:r>
      <w:r w:rsidR="00E17803" w:rsidRPr="00D0645A">
        <w:rPr>
          <w:sz w:val="24"/>
        </w:rPr>
        <w:t>.12.</w:t>
      </w:r>
      <w:r w:rsidRPr="00D0645A">
        <w:rPr>
          <w:sz w:val="24"/>
        </w:rPr>
        <w:t>2014 N 2390-э</w:t>
      </w:r>
      <w:r w:rsidR="009609BA" w:rsidRPr="00D0645A">
        <w:rPr>
          <w:sz w:val="24"/>
        </w:rPr>
        <w:t>.</w:t>
      </w:r>
    </w:p>
    <w:p w14:paraId="7C544D35" w14:textId="291040AC" w:rsidR="00E17803" w:rsidRPr="00D0645A" w:rsidRDefault="00E17803" w:rsidP="00D0645A">
      <w:pPr>
        <w:pStyle w:val="a4"/>
        <w:numPr>
          <w:ilvl w:val="0"/>
          <w:numId w:val="1"/>
        </w:numPr>
        <w:tabs>
          <w:tab w:val="left" w:pos="0"/>
        </w:tabs>
        <w:spacing w:after="0" w:line="240" w:lineRule="auto"/>
        <w:ind w:left="426" w:hanging="426"/>
        <w:contextualSpacing w:val="0"/>
        <w:jc w:val="both"/>
        <w:rPr>
          <w:sz w:val="24"/>
        </w:rPr>
      </w:pPr>
      <w:r w:rsidRPr="00D0645A">
        <w:t>Методические разъяснения по определению экономического обесценения электросетевого имущества МР–8/23 от 20.12.2023</w:t>
      </w:r>
      <w:r w:rsidRPr="00D0645A">
        <w:rPr>
          <w:sz w:val="24"/>
        </w:rPr>
        <w:t xml:space="preserve"> // </w:t>
      </w:r>
      <w:proofErr w:type="gramStart"/>
      <w:r w:rsidRPr="00D0645A">
        <w:t>https://srosovet.ru/press/news/191223/</w:t>
      </w:r>
      <w:r w:rsidRPr="00D0645A">
        <w:rPr>
          <w:sz w:val="24"/>
        </w:rPr>
        <w:t xml:space="preserve"> </w:t>
      </w:r>
      <w:r w:rsidR="009609BA" w:rsidRPr="00D0645A">
        <w:rPr>
          <w:sz w:val="24"/>
        </w:rPr>
        <w:t>.</w:t>
      </w:r>
      <w:proofErr w:type="gramEnd"/>
    </w:p>
    <w:sectPr w:rsidR="00E17803" w:rsidRPr="00D0645A" w:rsidSect="00A84BFA">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BCEA" w14:textId="77777777" w:rsidR="00517F0D" w:rsidRDefault="00517F0D" w:rsidP="003973D9">
      <w:pPr>
        <w:spacing w:after="0" w:line="240" w:lineRule="auto"/>
      </w:pPr>
      <w:r>
        <w:separator/>
      </w:r>
    </w:p>
  </w:endnote>
  <w:endnote w:type="continuationSeparator" w:id="0">
    <w:p w14:paraId="670BC1C0" w14:textId="77777777" w:rsidR="00517F0D" w:rsidRDefault="00517F0D"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70CD" w14:textId="77777777" w:rsidR="00CD64ED" w:rsidRDefault="00CD64E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Content>
      <w:p w14:paraId="76508DA5" w14:textId="77777777" w:rsidR="00CD64ED" w:rsidRDefault="00BB57C5">
        <w:pPr>
          <w:pStyle w:val="af1"/>
          <w:jc w:val="right"/>
        </w:pPr>
        <w:r>
          <w:fldChar w:fldCharType="begin"/>
        </w:r>
        <w:r w:rsidR="00CD64ED">
          <w:instrText>PAGE   \* MERGEFORMAT</w:instrText>
        </w:r>
        <w:r>
          <w:fldChar w:fldCharType="separate"/>
        </w:r>
        <w:r w:rsidR="009A47FE">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9484" w14:textId="77777777" w:rsidR="00CD64ED" w:rsidRDefault="00CD64E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B1EC" w14:textId="77777777" w:rsidR="00517F0D" w:rsidRDefault="00517F0D" w:rsidP="003973D9">
      <w:pPr>
        <w:spacing w:after="0" w:line="240" w:lineRule="auto"/>
      </w:pPr>
      <w:r>
        <w:separator/>
      </w:r>
    </w:p>
  </w:footnote>
  <w:footnote w:type="continuationSeparator" w:id="0">
    <w:p w14:paraId="5173B348" w14:textId="77777777" w:rsidR="00517F0D" w:rsidRDefault="00517F0D" w:rsidP="003973D9">
      <w:pPr>
        <w:spacing w:after="0" w:line="240" w:lineRule="auto"/>
      </w:pPr>
      <w:r>
        <w:continuationSeparator/>
      </w:r>
    </w:p>
  </w:footnote>
  <w:footnote w:id="1">
    <w:p w14:paraId="6F13E009" w14:textId="1806184E" w:rsidR="0063227F" w:rsidRPr="00C61F07" w:rsidRDefault="0063227F" w:rsidP="0063227F">
      <w:pPr>
        <w:pStyle w:val="a8"/>
      </w:pPr>
      <w:r w:rsidRPr="00C61F07">
        <w:rPr>
          <w:rStyle w:val="aa"/>
        </w:rPr>
        <w:footnoteRef/>
      </w:r>
      <w:r w:rsidRPr="00C61F07">
        <w:t xml:space="preserve"> в части, не противоречащей Закону о</w:t>
      </w:r>
      <w:r w:rsidRPr="00C61F07">
        <w:rPr>
          <w:lang w:val="en-US"/>
        </w:rPr>
        <w:t> </w:t>
      </w:r>
      <w:r w:rsidRPr="001A7C74">
        <w:t>судебно-экспертной деятельности [</w:t>
      </w:r>
      <w:r w:rsidR="001A7C74" w:rsidRPr="001A7C74">
        <w:t>1</w:t>
      </w:r>
      <w:r w:rsidRPr="001A7C74">
        <w:t>]</w:t>
      </w:r>
    </w:p>
  </w:footnote>
  <w:footnote w:id="2">
    <w:p w14:paraId="52D677AE" w14:textId="4E13D005" w:rsidR="007F2177" w:rsidRDefault="007F2177">
      <w:pPr>
        <w:pStyle w:val="a8"/>
      </w:pPr>
      <w:r w:rsidRPr="001A7C74">
        <w:rPr>
          <w:rStyle w:val="aa"/>
        </w:rPr>
        <w:footnoteRef/>
      </w:r>
      <w:r w:rsidRPr="001A7C74">
        <w:t xml:space="preserve"> </w:t>
      </w:r>
      <w:r w:rsidR="001A7C74" w:rsidRPr="001A7C74">
        <w:t>линии электропередач</w:t>
      </w:r>
      <w:r w:rsidR="009A5130">
        <w:t>и</w:t>
      </w:r>
      <w:r w:rsidR="001A7C74" w:rsidRPr="001A7C74">
        <w:t xml:space="preserve">, силовые подстанции и </w:t>
      </w:r>
      <w:proofErr w:type="gramStart"/>
      <w:r w:rsidR="001A7C74" w:rsidRPr="001A7C74">
        <w:t>т.п.</w:t>
      </w:r>
      <w:proofErr w:type="gramEnd"/>
    </w:p>
  </w:footnote>
  <w:footnote w:id="3">
    <w:p w14:paraId="39B2904A" w14:textId="77377464" w:rsidR="002659ED" w:rsidRDefault="002659ED" w:rsidP="00D0645A">
      <w:pPr>
        <w:pStyle w:val="a8"/>
        <w:jc w:val="both"/>
      </w:pPr>
      <w:r>
        <w:rPr>
          <w:rStyle w:val="aa"/>
        </w:rPr>
        <w:footnoteRef/>
      </w:r>
      <w:r>
        <w:t xml:space="preserve"> например, в форме рыночных данных (расценок) затрат строительных компаний на единицу объема строительства аналогичных объектов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320" w14:textId="7B1B1C74" w:rsidR="00CD64ED" w:rsidRDefault="00CD64E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5099" w14:textId="5A1F87F9" w:rsidR="00CD64ED" w:rsidRDefault="00CD64ED">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F89" w14:textId="4FF4BD9D" w:rsidR="00CD64ED" w:rsidRDefault="00CD64E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E339CB"/>
    <w:multiLevelType w:val="multilevel"/>
    <w:tmpl w:val="C6842F5C"/>
    <w:lvl w:ilvl="0">
      <w:start w:val="1"/>
      <w:numFmt w:val="bullet"/>
      <w:pStyle w:val="a"/>
      <w:lvlText w:val=""/>
      <w:lvlJc w:val="left"/>
      <w:pPr>
        <w:tabs>
          <w:tab w:val="num" w:pos="1531"/>
        </w:tabs>
        <w:ind w:left="709" w:hanging="369"/>
      </w:pPr>
      <w:rPr>
        <w:rFonts w:ascii="Wingdings" w:hAnsi="Wingdings" w:hint="default"/>
      </w:rPr>
    </w:lvl>
    <w:lvl w:ilvl="1">
      <w:start w:val="1"/>
      <w:numFmt w:val="bullet"/>
      <w:pStyle w:val="2"/>
      <w:lvlText w:val=""/>
      <w:lvlJc w:val="left"/>
      <w:pPr>
        <w:tabs>
          <w:tab w:val="num" w:pos="1871"/>
        </w:tabs>
        <w:ind w:left="1049" w:hanging="369"/>
      </w:pPr>
      <w:rPr>
        <w:rFonts w:ascii="Wingdings" w:hAnsi="Wingdings" w:hint="default"/>
        <w:sz w:val="20"/>
        <w:szCs w:val="20"/>
      </w:rPr>
    </w:lvl>
    <w:lvl w:ilvl="2">
      <w:start w:val="1"/>
      <w:numFmt w:val="bullet"/>
      <w:pStyle w:val="3"/>
      <w:lvlText w:val=""/>
      <w:lvlJc w:val="left"/>
      <w:pPr>
        <w:tabs>
          <w:tab w:val="num" w:pos="2211"/>
        </w:tabs>
        <w:ind w:left="1389" w:hanging="369"/>
      </w:pPr>
      <w:rPr>
        <w:rFonts w:ascii="Wingdings" w:hAnsi="Wingdings" w:hint="default"/>
        <w:sz w:val="16"/>
        <w:szCs w:val="16"/>
      </w:rPr>
    </w:lvl>
    <w:lvl w:ilvl="3">
      <w:start w:val="1"/>
      <w:numFmt w:val="bullet"/>
      <w:pStyle w:val="4"/>
      <w:lvlText w:val=""/>
      <w:lvlJc w:val="left"/>
      <w:pPr>
        <w:tabs>
          <w:tab w:val="num" w:pos="2551"/>
        </w:tabs>
        <w:ind w:left="1729" w:hanging="369"/>
      </w:pPr>
      <w:rPr>
        <w:rFonts w:ascii="Wingdings" w:hAnsi="Wingdings" w:hint="default"/>
        <w:sz w:val="16"/>
        <w:szCs w:val="16"/>
      </w:rPr>
    </w:lvl>
    <w:lvl w:ilvl="4">
      <w:start w:val="1"/>
      <w:numFmt w:val="bullet"/>
      <w:pStyle w:val="5"/>
      <w:lvlText w:val=""/>
      <w:lvlJc w:val="left"/>
      <w:pPr>
        <w:tabs>
          <w:tab w:val="num" w:pos="2891"/>
        </w:tabs>
        <w:ind w:left="2069" w:hanging="369"/>
      </w:pPr>
      <w:rPr>
        <w:rFonts w:ascii="Wingdings" w:hAnsi="Wingdings" w:hint="default"/>
      </w:rPr>
    </w:lvl>
    <w:lvl w:ilvl="5">
      <w:start w:val="1"/>
      <w:numFmt w:val="bullet"/>
      <w:lvlText w:val=""/>
      <w:lvlJc w:val="left"/>
      <w:pPr>
        <w:tabs>
          <w:tab w:val="num" w:pos="3231"/>
        </w:tabs>
        <w:ind w:left="2409" w:hanging="369"/>
      </w:pPr>
      <w:rPr>
        <w:rFonts w:ascii="Wingdings" w:hAnsi="Wingdings" w:hint="default"/>
      </w:rPr>
    </w:lvl>
    <w:lvl w:ilvl="6">
      <w:start w:val="1"/>
      <w:numFmt w:val="bullet"/>
      <w:lvlText w:val=""/>
      <w:lvlJc w:val="left"/>
      <w:pPr>
        <w:tabs>
          <w:tab w:val="num" w:pos="3571"/>
        </w:tabs>
        <w:ind w:left="2749" w:hanging="369"/>
      </w:pPr>
      <w:rPr>
        <w:rFonts w:ascii="Wingdings" w:hAnsi="Wingdings" w:hint="default"/>
      </w:rPr>
    </w:lvl>
    <w:lvl w:ilvl="7">
      <w:start w:val="1"/>
      <w:numFmt w:val="bullet"/>
      <w:lvlText w:val=""/>
      <w:lvlJc w:val="left"/>
      <w:pPr>
        <w:tabs>
          <w:tab w:val="num" w:pos="3911"/>
        </w:tabs>
        <w:ind w:left="3089" w:hanging="369"/>
      </w:pPr>
      <w:rPr>
        <w:rFonts w:ascii="Symbol" w:hAnsi="Symbol" w:hint="default"/>
      </w:rPr>
    </w:lvl>
    <w:lvl w:ilvl="8">
      <w:start w:val="1"/>
      <w:numFmt w:val="bullet"/>
      <w:lvlText w:val=""/>
      <w:lvlJc w:val="left"/>
      <w:pPr>
        <w:tabs>
          <w:tab w:val="num" w:pos="4251"/>
        </w:tabs>
        <w:ind w:left="3429" w:hanging="369"/>
      </w:pPr>
      <w:rPr>
        <w:rFonts w:ascii="Symbol" w:hAnsi="Symbol" w:hint="default"/>
      </w:rPr>
    </w:lvl>
  </w:abstractNum>
  <w:abstractNum w:abstractNumId="2" w15:restartNumberingAfterBreak="0">
    <w:nsid w:val="2F0803D1"/>
    <w:multiLevelType w:val="hybridMultilevel"/>
    <w:tmpl w:val="1DA6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F230A7"/>
    <w:multiLevelType w:val="hybridMultilevel"/>
    <w:tmpl w:val="8A0EC27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68E61A66"/>
    <w:multiLevelType w:val="hybridMultilevel"/>
    <w:tmpl w:val="F182CA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2E76016"/>
    <w:multiLevelType w:val="hybridMultilevel"/>
    <w:tmpl w:val="D7D6E1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72EE7186"/>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A90033"/>
    <w:multiLevelType w:val="hybridMultilevel"/>
    <w:tmpl w:val="6BA2BFC6"/>
    <w:lvl w:ilvl="0" w:tplc="9E164D26">
      <w:start w:val="1"/>
      <w:numFmt w:val="decimal"/>
      <w:lvlText w:val="%1."/>
      <w:lvlJc w:val="left"/>
      <w:pPr>
        <w:ind w:left="1080" w:hanging="360"/>
      </w:pPr>
      <w:rPr>
        <w:rFonts w:ascii="Times New Roman" w:hAnsi="Times New Roman" w:cs="Times New Roman" w:hint="default"/>
        <w:i w:val="0"/>
        <w:iCs/>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27892597">
    <w:abstractNumId w:val="0"/>
  </w:num>
  <w:num w:numId="2" w16cid:durableId="732192182">
    <w:abstractNumId w:val="1"/>
  </w:num>
  <w:num w:numId="3" w16cid:durableId="833187377">
    <w:abstractNumId w:val="5"/>
  </w:num>
  <w:num w:numId="4" w16cid:durableId="1219440322">
    <w:abstractNumId w:val="7"/>
  </w:num>
  <w:num w:numId="5" w16cid:durableId="342979710">
    <w:abstractNumId w:val="4"/>
  </w:num>
  <w:num w:numId="6" w16cid:durableId="1769882175">
    <w:abstractNumId w:val="3"/>
  </w:num>
  <w:num w:numId="7" w16cid:durableId="1494418954">
    <w:abstractNumId w:val="6"/>
  </w:num>
  <w:num w:numId="8" w16cid:durableId="557804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7A"/>
    <w:rsid w:val="0000277E"/>
    <w:rsid w:val="00002BD5"/>
    <w:rsid w:val="00002E9F"/>
    <w:rsid w:val="00004CAC"/>
    <w:rsid w:val="00005888"/>
    <w:rsid w:val="00006760"/>
    <w:rsid w:val="00007EF4"/>
    <w:rsid w:val="00010BBD"/>
    <w:rsid w:val="00011C7D"/>
    <w:rsid w:val="00013C77"/>
    <w:rsid w:val="000157AA"/>
    <w:rsid w:val="0001628C"/>
    <w:rsid w:val="00017977"/>
    <w:rsid w:val="00017DE0"/>
    <w:rsid w:val="00020DE3"/>
    <w:rsid w:val="00021733"/>
    <w:rsid w:val="000224E8"/>
    <w:rsid w:val="000240A6"/>
    <w:rsid w:val="00024482"/>
    <w:rsid w:val="0002523C"/>
    <w:rsid w:val="000261F6"/>
    <w:rsid w:val="00026CE6"/>
    <w:rsid w:val="00027AF7"/>
    <w:rsid w:val="00031250"/>
    <w:rsid w:val="00033FA9"/>
    <w:rsid w:val="00034F53"/>
    <w:rsid w:val="0003549A"/>
    <w:rsid w:val="00035660"/>
    <w:rsid w:val="00036FE7"/>
    <w:rsid w:val="00036FF2"/>
    <w:rsid w:val="00037F9E"/>
    <w:rsid w:val="000447DA"/>
    <w:rsid w:val="00051217"/>
    <w:rsid w:val="00051848"/>
    <w:rsid w:val="00051A71"/>
    <w:rsid w:val="00052926"/>
    <w:rsid w:val="00053AE1"/>
    <w:rsid w:val="0005503E"/>
    <w:rsid w:val="00057DAB"/>
    <w:rsid w:val="00061499"/>
    <w:rsid w:val="00062D25"/>
    <w:rsid w:val="00062E2E"/>
    <w:rsid w:val="00063C77"/>
    <w:rsid w:val="00064598"/>
    <w:rsid w:val="00066E15"/>
    <w:rsid w:val="00067D37"/>
    <w:rsid w:val="0007181A"/>
    <w:rsid w:val="00071F3B"/>
    <w:rsid w:val="0007203D"/>
    <w:rsid w:val="00073707"/>
    <w:rsid w:val="00074F38"/>
    <w:rsid w:val="000817A6"/>
    <w:rsid w:val="00082AEB"/>
    <w:rsid w:val="00082D83"/>
    <w:rsid w:val="000876AC"/>
    <w:rsid w:val="00090CF2"/>
    <w:rsid w:val="000910AC"/>
    <w:rsid w:val="0009273D"/>
    <w:rsid w:val="00094324"/>
    <w:rsid w:val="0009709C"/>
    <w:rsid w:val="00097C18"/>
    <w:rsid w:val="000A095B"/>
    <w:rsid w:val="000A2482"/>
    <w:rsid w:val="000A6A23"/>
    <w:rsid w:val="000A7C61"/>
    <w:rsid w:val="000B058F"/>
    <w:rsid w:val="000B1213"/>
    <w:rsid w:val="000B1FE2"/>
    <w:rsid w:val="000B2B0F"/>
    <w:rsid w:val="000B3319"/>
    <w:rsid w:val="000B3463"/>
    <w:rsid w:val="000B4FAD"/>
    <w:rsid w:val="000B59D0"/>
    <w:rsid w:val="000B7718"/>
    <w:rsid w:val="000B78A8"/>
    <w:rsid w:val="000C095D"/>
    <w:rsid w:val="000C0B34"/>
    <w:rsid w:val="000C0D27"/>
    <w:rsid w:val="000C476F"/>
    <w:rsid w:val="000C55D6"/>
    <w:rsid w:val="000C58C5"/>
    <w:rsid w:val="000C6F7A"/>
    <w:rsid w:val="000C7B77"/>
    <w:rsid w:val="000D1021"/>
    <w:rsid w:val="000D1244"/>
    <w:rsid w:val="000D194E"/>
    <w:rsid w:val="000D1F47"/>
    <w:rsid w:val="000D27AF"/>
    <w:rsid w:val="000D36E1"/>
    <w:rsid w:val="000D4E13"/>
    <w:rsid w:val="000D52C8"/>
    <w:rsid w:val="000D5931"/>
    <w:rsid w:val="000D6BE3"/>
    <w:rsid w:val="000E0906"/>
    <w:rsid w:val="000E2CC0"/>
    <w:rsid w:val="000E34BF"/>
    <w:rsid w:val="000E5B27"/>
    <w:rsid w:val="000E6FE4"/>
    <w:rsid w:val="000E7E6D"/>
    <w:rsid w:val="000F01F7"/>
    <w:rsid w:val="000F571E"/>
    <w:rsid w:val="000F57CC"/>
    <w:rsid w:val="000F5D8F"/>
    <w:rsid w:val="000F6094"/>
    <w:rsid w:val="00101375"/>
    <w:rsid w:val="001021C6"/>
    <w:rsid w:val="00103C57"/>
    <w:rsid w:val="0010551B"/>
    <w:rsid w:val="001061BE"/>
    <w:rsid w:val="0010674F"/>
    <w:rsid w:val="00106AF2"/>
    <w:rsid w:val="00111329"/>
    <w:rsid w:val="00112BD9"/>
    <w:rsid w:val="001135AA"/>
    <w:rsid w:val="001151AC"/>
    <w:rsid w:val="00115575"/>
    <w:rsid w:val="001166C2"/>
    <w:rsid w:val="001179F7"/>
    <w:rsid w:val="00117E99"/>
    <w:rsid w:val="00121071"/>
    <w:rsid w:val="001215AB"/>
    <w:rsid w:val="00121DF4"/>
    <w:rsid w:val="00122FA1"/>
    <w:rsid w:val="001236A4"/>
    <w:rsid w:val="001237AD"/>
    <w:rsid w:val="00124D4E"/>
    <w:rsid w:val="00124E08"/>
    <w:rsid w:val="001252F9"/>
    <w:rsid w:val="00125CAF"/>
    <w:rsid w:val="0012746A"/>
    <w:rsid w:val="00130619"/>
    <w:rsid w:val="001315FC"/>
    <w:rsid w:val="00131604"/>
    <w:rsid w:val="00131D8C"/>
    <w:rsid w:val="001325C6"/>
    <w:rsid w:val="00132680"/>
    <w:rsid w:val="0013434A"/>
    <w:rsid w:val="001403EB"/>
    <w:rsid w:val="00141D4F"/>
    <w:rsid w:val="00143378"/>
    <w:rsid w:val="0014345F"/>
    <w:rsid w:val="001434CC"/>
    <w:rsid w:val="00144FB2"/>
    <w:rsid w:val="00145B7F"/>
    <w:rsid w:val="00146073"/>
    <w:rsid w:val="00146163"/>
    <w:rsid w:val="0014684A"/>
    <w:rsid w:val="001514B2"/>
    <w:rsid w:val="00153621"/>
    <w:rsid w:val="001539E1"/>
    <w:rsid w:val="001552E6"/>
    <w:rsid w:val="00155E42"/>
    <w:rsid w:val="00156683"/>
    <w:rsid w:val="0016104D"/>
    <w:rsid w:val="001611DC"/>
    <w:rsid w:val="00162749"/>
    <w:rsid w:val="001634E2"/>
    <w:rsid w:val="0016362A"/>
    <w:rsid w:val="00164CE3"/>
    <w:rsid w:val="00164D16"/>
    <w:rsid w:val="00165B85"/>
    <w:rsid w:val="00167278"/>
    <w:rsid w:val="0016740C"/>
    <w:rsid w:val="00170F05"/>
    <w:rsid w:val="00173012"/>
    <w:rsid w:val="00181612"/>
    <w:rsid w:val="0018228E"/>
    <w:rsid w:val="001838EB"/>
    <w:rsid w:val="0018523C"/>
    <w:rsid w:val="00185859"/>
    <w:rsid w:val="00186C0A"/>
    <w:rsid w:val="001874CE"/>
    <w:rsid w:val="001876CD"/>
    <w:rsid w:val="001878AB"/>
    <w:rsid w:val="0019082C"/>
    <w:rsid w:val="00190CB9"/>
    <w:rsid w:val="00190F63"/>
    <w:rsid w:val="001916CD"/>
    <w:rsid w:val="00191E58"/>
    <w:rsid w:val="0019260C"/>
    <w:rsid w:val="001930ED"/>
    <w:rsid w:val="00193F28"/>
    <w:rsid w:val="001946EA"/>
    <w:rsid w:val="00194759"/>
    <w:rsid w:val="00195946"/>
    <w:rsid w:val="00196D4D"/>
    <w:rsid w:val="00197811"/>
    <w:rsid w:val="001A068D"/>
    <w:rsid w:val="001A074B"/>
    <w:rsid w:val="001A0B2E"/>
    <w:rsid w:val="001A1A08"/>
    <w:rsid w:val="001A2811"/>
    <w:rsid w:val="001A283D"/>
    <w:rsid w:val="001A3200"/>
    <w:rsid w:val="001A3872"/>
    <w:rsid w:val="001A46FF"/>
    <w:rsid w:val="001A53E7"/>
    <w:rsid w:val="001A5682"/>
    <w:rsid w:val="001A63EB"/>
    <w:rsid w:val="001A64B6"/>
    <w:rsid w:val="001A7C74"/>
    <w:rsid w:val="001A7C9E"/>
    <w:rsid w:val="001B175B"/>
    <w:rsid w:val="001B1F02"/>
    <w:rsid w:val="001B7081"/>
    <w:rsid w:val="001B70E8"/>
    <w:rsid w:val="001B7789"/>
    <w:rsid w:val="001C0D5C"/>
    <w:rsid w:val="001C0F75"/>
    <w:rsid w:val="001C2392"/>
    <w:rsid w:val="001C26C5"/>
    <w:rsid w:val="001C362E"/>
    <w:rsid w:val="001C3E2A"/>
    <w:rsid w:val="001C5F4B"/>
    <w:rsid w:val="001C6126"/>
    <w:rsid w:val="001C6B1B"/>
    <w:rsid w:val="001C7F36"/>
    <w:rsid w:val="001D0E19"/>
    <w:rsid w:val="001D24BF"/>
    <w:rsid w:val="001D5CA8"/>
    <w:rsid w:val="001D5CFA"/>
    <w:rsid w:val="001D70FB"/>
    <w:rsid w:val="001E134F"/>
    <w:rsid w:val="001E184B"/>
    <w:rsid w:val="001E355D"/>
    <w:rsid w:val="001E3F27"/>
    <w:rsid w:val="001E4F97"/>
    <w:rsid w:val="001E6425"/>
    <w:rsid w:val="001E7ADD"/>
    <w:rsid w:val="001F12AF"/>
    <w:rsid w:val="001F6400"/>
    <w:rsid w:val="001F6E09"/>
    <w:rsid w:val="001F7759"/>
    <w:rsid w:val="0020126D"/>
    <w:rsid w:val="002026FE"/>
    <w:rsid w:val="00203CB1"/>
    <w:rsid w:val="0020766E"/>
    <w:rsid w:val="002101D4"/>
    <w:rsid w:val="00210239"/>
    <w:rsid w:val="0021196F"/>
    <w:rsid w:val="002119FF"/>
    <w:rsid w:val="0021267C"/>
    <w:rsid w:val="00212725"/>
    <w:rsid w:val="00214DCB"/>
    <w:rsid w:val="00216852"/>
    <w:rsid w:val="00216B87"/>
    <w:rsid w:val="002235FD"/>
    <w:rsid w:val="00223D82"/>
    <w:rsid w:val="00224346"/>
    <w:rsid w:val="002249AB"/>
    <w:rsid w:val="00225013"/>
    <w:rsid w:val="0022586A"/>
    <w:rsid w:val="00225CFE"/>
    <w:rsid w:val="00225F7D"/>
    <w:rsid w:val="00226B7A"/>
    <w:rsid w:val="00227894"/>
    <w:rsid w:val="002309DF"/>
    <w:rsid w:val="00230E8F"/>
    <w:rsid w:val="002310C8"/>
    <w:rsid w:val="00231E62"/>
    <w:rsid w:val="002415BE"/>
    <w:rsid w:val="002432C9"/>
    <w:rsid w:val="00243AD1"/>
    <w:rsid w:val="00243C51"/>
    <w:rsid w:val="002447DB"/>
    <w:rsid w:val="00244F3B"/>
    <w:rsid w:val="00245C08"/>
    <w:rsid w:val="0024648E"/>
    <w:rsid w:val="00246E5C"/>
    <w:rsid w:val="00247157"/>
    <w:rsid w:val="00247EFE"/>
    <w:rsid w:val="00250753"/>
    <w:rsid w:val="0025128F"/>
    <w:rsid w:val="002512C8"/>
    <w:rsid w:val="0025149B"/>
    <w:rsid w:val="002520E7"/>
    <w:rsid w:val="0025211B"/>
    <w:rsid w:val="002543AD"/>
    <w:rsid w:val="00254599"/>
    <w:rsid w:val="00255DB5"/>
    <w:rsid w:val="00256664"/>
    <w:rsid w:val="0025738A"/>
    <w:rsid w:val="0026185D"/>
    <w:rsid w:val="002636FD"/>
    <w:rsid w:val="00264266"/>
    <w:rsid w:val="00264F28"/>
    <w:rsid w:val="002652FB"/>
    <w:rsid w:val="002659ED"/>
    <w:rsid w:val="00272F80"/>
    <w:rsid w:val="00274A2E"/>
    <w:rsid w:val="00274C05"/>
    <w:rsid w:val="00275526"/>
    <w:rsid w:val="00275EC9"/>
    <w:rsid w:val="00276F6D"/>
    <w:rsid w:val="0027793E"/>
    <w:rsid w:val="00281521"/>
    <w:rsid w:val="00282354"/>
    <w:rsid w:val="002836A5"/>
    <w:rsid w:val="00284341"/>
    <w:rsid w:val="00284E98"/>
    <w:rsid w:val="00286207"/>
    <w:rsid w:val="00286B27"/>
    <w:rsid w:val="00287501"/>
    <w:rsid w:val="00291263"/>
    <w:rsid w:val="00291313"/>
    <w:rsid w:val="00291B28"/>
    <w:rsid w:val="0029389D"/>
    <w:rsid w:val="00293C9E"/>
    <w:rsid w:val="002961FF"/>
    <w:rsid w:val="002964DF"/>
    <w:rsid w:val="00297179"/>
    <w:rsid w:val="002A0491"/>
    <w:rsid w:val="002A1373"/>
    <w:rsid w:val="002A2263"/>
    <w:rsid w:val="002A258A"/>
    <w:rsid w:val="002A3403"/>
    <w:rsid w:val="002A4739"/>
    <w:rsid w:val="002A4D62"/>
    <w:rsid w:val="002A6467"/>
    <w:rsid w:val="002A6CB5"/>
    <w:rsid w:val="002A7081"/>
    <w:rsid w:val="002A7328"/>
    <w:rsid w:val="002A7A72"/>
    <w:rsid w:val="002B0115"/>
    <w:rsid w:val="002B0DF1"/>
    <w:rsid w:val="002B3421"/>
    <w:rsid w:val="002B3B94"/>
    <w:rsid w:val="002B60DA"/>
    <w:rsid w:val="002C1382"/>
    <w:rsid w:val="002C27C4"/>
    <w:rsid w:val="002C3C21"/>
    <w:rsid w:val="002C3E01"/>
    <w:rsid w:val="002C78C5"/>
    <w:rsid w:val="002C7D1F"/>
    <w:rsid w:val="002D0DE4"/>
    <w:rsid w:val="002D117E"/>
    <w:rsid w:val="002D229A"/>
    <w:rsid w:val="002D2365"/>
    <w:rsid w:val="002D715D"/>
    <w:rsid w:val="002D75AB"/>
    <w:rsid w:val="002D7AD3"/>
    <w:rsid w:val="002E07DB"/>
    <w:rsid w:val="002E4504"/>
    <w:rsid w:val="002E45B5"/>
    <w:rsid w:val="002E7F44"/>
    <w:rsid w:val="002F2E87"/>
    <w:rsid w:val="002F4F4B"/>
    <w:rsid w:val="002F57C9"/>
    <w:rsid w:val="002F58EA"/>
    <w:rsid w:val="002F5A3E"/>
    <w:rsid w:val="002F5D3A"/>
    <w:rsid w:val="002F65D7"/>
    <w:rsid w:val="0030006A"/>
    <w:rsid w:val="00300C8E"/>
    <w:rsid w:val="00301E50"/>
    <w:rsid w:val="003029C3"/>
    <w:rsid w:val="00304917"/>
    <w:rsid w:val="0030530C"/>
    <w:rsid w:val="00305D26"/>
    <w:rsid w:val="00306038"/>
    <w:rsid w:val="0030796A"/>
    <w:rsid w:val="00310373"/>
    <w:rsid w:val="00310C96"/>
    <w:rsid w:val="0031236A"/>
    <w:rsid w:val="0031246A"/>
    <w:rsid w:val="00315DB8"/>
    <w:rsid w:val="00317984"/>
    <w:rsid w:val="00317C9C"/>
    <w:rsid w:val="003206A7"/>
    <w:rsid w:val="003212ED"/>
    <w:rsid w:val="0032131C"/>
    <w:rsid w:val="00323F54"/>
    <w:rsid w:val="00324FBF"/>
    <w:rsid w:val="00325E1C"/>
    <w:rsid w:val="00326A6F"/>
    <w:rsid w:val="00331C88"/>
    <w:rsid w:val="00333CAA"/>
    <w:rsid w:val="003369D6"/>
    <w:rsid w:val="00340205"/>
    <w:rsid w:val="00340EBF"/>
    <w:rsid w:val="00342A63"/>
    <w:rsid w:val="00345286"/>
    <w:rsid w:val="00345CD9"/>
    <w:rsid w:val="00347282"/>
    <w:rsid w:val="00347CD8"/>
    <w:rsid w:val="00350050"/>
    <w:rsid w:val="00350507"/>
    <w:rsid w:val="00350B95"/>
    <w:rsid w:val="00351BC8"/>
    <w:rsid w:val="00352177"/>
    <w:rsid w:val="003567D6"/>
    <w:rsid w:val="0035769A"/>
    <w:rsid w:val="00360025"/>
    <w:rsid w:val="003607C1"/>
    <w:rsid w:val="00360F26"/>
    <w:rsid w:val="00362082"/>
    <w:rsid w:val="003627D7"/>
    <w:rsid w:val="00363902"/>
    <w:rsid w:val="003642F9"/>
    <w:rsid w:val="0036601E"/>
    <w:rsid w:val="00366341"/>
    <w:rsid w:val="00366518"/>
    <w:rsid w:val="00371451"/>
    <w:rsid w:val="00375A18"/>
    <w:rsid w:val="003763E3"/>
    <w:rsid w:val="003821CE"/>
    <w:rsid w:val="003831B0"/>
    <w:rsid w:val="0038396F"/>
    <w:rsid w:val="00384692"/>
    <w:rsid w:val="00385C60"/>
    <w:rsid w:val="00386221"/>
    <w:rsid w:val="003869AB"/>
    <w:rsid w:val="00386CAE"/>
    <w:rsid w:val="00391ABB"/>
    <w:rsid w:val="00391E34"/>
    <w:rsid w:val="00392046"/>
    <w:rsid w:val="003924B4"/>
    <w:rsid w:val="00393418"/>
    <w:rsid w:val="003943DF"/>
    <w:rsid w:val="00394B6D"/>
    <w:rsid w:val="00395261"/>
    <w:rsid w:val="00395482"/>
    <w:rsid w:val="00395F8C"/>
    <w:rsid w:val="00396EC2"/>
    <w:rsid w:val="003973D9"/>
    <w:rsid w:val="003A0166"/>
    <w:rsid w:val="003A0207"/>
    <w:rsid w:val="003A08D7"/>
    <w:rsid w:val="003A169D"/>
    <w:rsid w:val="003A1C03"/>
    <w:rsid w:val="003A3C3B"/>
    <w:rsid w:val="003A471F"/>
    <w:rsid w:val="003A6EF3"/>
    <w:rsid w:val="003B03F8"/>
    <w:rsid w:val="003B0F4D"/>
    <w:rsid w:val="003B2AE8"/>
    <w:rsid w:val="003B4AC6"/>
    <w:rsid w:val="003C057E"/>
    <w:rsid w:val="003C0A36"/>
    <w:rsid w:val="003C47AE"/>
    <w:rsid w:val="003C496F"/>
    <w:rsid w:val="003C55BD"/>
    <w:rsid w:val="003C5EAC"/>
    <w:rsid w:val="003C7102"/>
    <w:rsid w:val="003D0BA6"/>
    <w:rsid w:val="003D0CD5"/>
    <w:rsid w:val="003D190D"/>
    <w:rsid w:val="003D3361"/>
    <w:rsid w:val="003D4982"/>
    <w:rsid w:val="003D4C33"/>
    <w:rsid w:val="003D4C54"/>
    <w:rsid w:val="003D4DA0"/>
    <w:rsid w:val="003D65D5"/>
    <w:rsid w:val="003D70E2"/>
    <w:rsid w:val="003E1D4F"/>
    <w:rsid w:val="003E32ED"/>
    <w:rsid w:val="003E48A8"/>
    <w:rsid w:val="003E6E55"/>
    <w:rsid w:val="003E78CB"/>
    <w:rsid w:val="003F0E85"/>
    <w:rsid w:val="003F1F46"/>
    <w:rsid w:val="003F489F"/>
    <w:rsid w:val="003F4C7C"/>
    <w:rsid w:val="003F6459"/>
    <w:rsid w:val="003F72D0"/>
    <w:rsid w:val="004002CF"/>
    <w:rsid w:val="00400383"/>
    <w:rsid w:val="0040158E"/>
    <w:rsid w:val="00404004"/>
    <w:rsid w:val="00404C6A"/>
    <w:rsid w:val="00406BC1"/>
    <w:rsid w:val="00407F3B"/>
    <w:rsid w:val="00411E37"/>
    <w:rsid w:val="0041303A"/>
    <w:rsid w:val="00413307"/>
    <w:rsid w:val="00413E3C"/>
    <w:rsid w:val="004153BA"/>
    <w:rsid w:val="00416214"/>
    <w:rsid w:val="004173E7"/>
    <w:rsid w:val="004201BB"/>
    <w:rsid w:val="004211E2"/>
    <w:rsid w:val="0042185E"/>
    <w:rsid w:val="00421871"/>
    <w:rsid w:val="00426282"/>
    <w:rsid w:val="00426DA5"/>
    <w:rsid w:val="00427179"/>
    <w:rsid w:val="00430800"/>
    <w:rsid w:val="00432A7D"/>
    <w:rsid w:val="004331EF"/>
    <w:rsid w:val="0044085E"/>
    <w:rsid w:val="00440ADD"/>
    <w:rsid w:val="00441C47"/>
    <w:rsid w:val="00444185"/>
    <w:rsid w:val="004443C9"/>
    <w:rsid w:val="004469B5"/>
    <w:rsid w:val="00446CAA"/>
    <w:rsid w:val="00446E75"/>
    <w:rsid w:val="00447CAF"/>
    <w:rsid w:val="004507DA"/>
    <w:rsid w:val="00451C03"/>
    <w:rsid w:val="00451F2B"/>
    <w:rsid w:val="00452868"/>
    <w:rsid w:val="00453B99"/>
    <w:rsid w:val="00453FCA"/>
    <w:rsid w:val="00454131"/>
    <w:rsid w:val="00455428"/>
    <w:rsid w:val="00457253"/>
    <w:rsid w:val="0045734A"/>
    <w:rsid w:val="00460CE3"/>
    <w:rsid w:val="004619BC"/>
    <w:rsid w:val="00463382"/>
    <w:rsid w:val="00464DDD"/>
    <w:rsid w:val="004653BD"/>
    <w:rsid w:val="004674ED"/>
    <w:rsid w:val="004717B1"/>
    <w:rsid w:val="00471C40"/>
    <w:rsid w:val="00471D3A"/>
    <w:rsid w:val="0047256A"/>
    <w:rsid w:val="0047436C"/>
    <w:rsid w:val="004747DB"/>
    <w:rsid w:val="00475D49"/>
    <w:rsid w:val="00475F6F"/>
    <w:rsid w:val="00476092"/>
    <w:rsid w:val="004800E5"/>
    <w:rsid w:val="0048085C"/>
    <w:rsid w:val="00480FA7"/>
    <w:rsid w:val="004848F7"/>
    <w:rsid w:val="00484E73"/>
    <w:rsid w:val="004850AD"/>
    <w:rsid w:val="004865E0"/>
    <w:rsid w:val="00486FAE"/>
    <w:rsid w:val="00487770"/>
    <w:rsid w:val="00490187"/>
    <w:rsid w:val="004927AF"/>
    <w:rsid w:val="004930BA"/>
    <w:rsid w:val="00493271"/>
    <w:rsid w:val="004A0115"/>
    <w:rsid w:val="004A1CFB"/>
    <w:rsid w:val="004A4BF3"/>
    <w:rsid w:val="004A4D56"/>
    <w:rsid w:val="004A7456"/>
    <w:rsid w:val="004B0F1D"/>
    <w:rsid w:val="004B2C86"/>
    <w:rsid w:val="004B3D56"/>
    <w:rsid w:val="004B621F"/>
    <w:rsid w:val="004B681D"/>
    <w:rsid w:val="004B7628"/>
    <w:rsid w:val="004B7935"/>
    <w:rsid w:val="004C1517"/>
    <w:rsid w:val="004C2815"/>
    <w:rsid w:val="004C3C2C"/>
    <w:rsid w:val="004C58CF"/>
    <w:rsid w:val="004D0B12"/>
    <w:rsid w:val="004D0B16"/>
    <w:rsid w:val="004D3C36"/>
    <w:rsid w:val="004D4D5F"/>
    <w:rsid w:val="004D5164"/>
    <w:rsid w:val="004D5F6F"/>
    <w:rsid w:val="004D5FD1"/>
    <w:rsid w:val="004E11AA"/>
    <w:rsid w:val="004E2390"/>
    <w:rsid w:val="004E3967"/>
    <w:rsid w:val="004E6BF5"/>
    <w:rsid w:val="004E7D82"/>
    <w:rsid w:val="004F0BC8"/>
    <w:rsid w:val="004F2A95"/>
    <w:rsid w:val="004F4031"/>
    <w:rsid w:val="004F5219"/>
    <w:rsid w:val="004F58FA"/>
    <w:rsid w:val="004F6871"/>
    <w:rsid w:val="00501AA2"/>
    <w:rsid w:val="00502500"/>
    <w:rsid w:val="00503556"/>
    <w:rsid w:val="0050380A"/>
    <w:rsid w:val="00504455"/>
    <w:rsid w:val="0051186B"/>
    <w:rsid w:val="00511C17"/>
    <w:rsid w:val="00512B90"/>
    <w:rsid w:val="00514528"/>
    <w:rsid w:val="00514FAE"/>
    <w:rsid w:val="00517F0D"/>
    <w:rsid w:val="005201CB"/>
    <w:rsid w:val="00520473"/>
    <w:rsid w:val="00520E1B"/>
    <w:rsid w:val="005215DE"/>
    <w:rsid w:val="00523C8D"/>
    <w:rsid w:val="005247A4"/>
    <w:rsid w:val="00524D43"/>
    <w:rsid w:val="00524E06"/>
    <w:rsid w:val="00526964"/>
    <w:rsid w:val="00530786"/>
    <w:rsid w:val="00532B1C"/>
    <w:rsid w:val="005338FA"/>
    <w:rsid w:val="00537565"/>
    <w:rsid w:val="005404AA"/>
    <w:rsid w:val="0054085A"/>
    <w:rsid w:val="005443C5"/>
    <w:rsid w:val="00544680"/>
    <w:rsid w:val="00544AA0"/>
    <w:rsid w:val="00544F62"/>
    <w:rsid w:val="005470E3"/>
    <w:rsid w:val="00547D88"/>
    <w:rsid w:val="00550E11"/>
    <w:rsid w:val="00553A49"/>
    <w:rsid w:val="00554234"/>
    <w:rsid w:val="00554BF2"/>
    <w:rsid w:val="00556178"/>
    <w:rsid w:val="00557ABE"/>
    <w:rsid w:val="005606B2"/>
    <w:rsid w:val="00560B83"/>
    <w:rsid w:val="00561B66"/>
    <w:rsid w:val="00561DB2"/>
    <w:rsid w:val="005636C2"/>
    <w:rsid w:val="005639A3"/>
    <w:rsid w:val="00565F40"/>
    <w:rsid w:val="0056739F"/>
    <w:rsid w:val="00571B8D"/>
    <w:rsid w:val="005731D2"/>
    <w:rsid w:val="00574835"/>
    <w:rsid w:val="00575637"/>
    <w:rsid w:val="0057581C"/>
    <w:rsid w:val="00575F66"/>
    <w:rsid w:val="005801A8"/>
    <w:rsid w:val="00581606"/>
    <w:rsid w:val="00583659"/>
    <w:rsid w:val="005844EE"/>
    <w:rsid w:val="00586A75"/>
    <w:rsid w:val="00586F4F"/>
    <w:rsid w:val="005915ED"/>
    <w:rsid w:val="005945D0"/>
    <w:rsid w:val="00594EBF"/>
    <w:rsid w:val="00595FB9"/>
    <w:rsid w:val="00596239"/>
    <w:rsid w:val="0059701E"/>
    <w:rsid w:val="005A1D9D"/>
    <w:rsid w:val="005A2F4A"/>
    <w:rsid w:val="005A3A33"/>
    <w:rsid w:val="005A4955"/>
    <w:rsid w:val="005A4BA4"/>
    <w:rsid w:val="005A518B"/>
    <w:rsid w:val="005A5501"/>
    <w:rsid w:val="005A6B68"/>
    <w:rsid w:val="005A7528"/>
    <w:rsid w:val="005A7BE2"/>
    <w:rsid w:val="005B097E"/>
    <w:rsid w:val="005B1BED"/>
    <w:rsid w:val="005B3A43"/>
    <w:rsid w:val="005B5016"/>
    <w:rsid w:val="005B5296"/>
    <w:rsid w:val="005B61D6"/>
    <w:rsid w:val="005B6D91"/>
    <w:rsid w:val="005C191F"/>
    <w:rsid w:val="005C3AD0"/>
    <w:rsid w:val="005C7C1D"/>
    <w:rsid w:val="005C7FD6"/>
    <w:rsid w:val="005D0A0B"/>
    <w:rsid w:val="005D1B96"/>
    <w:rsid w:val="005D2474"/>
    <w:rsid w:val="005D24E3"/>
    <w:rsid w:val="005D25D2"/>
    <w:rsid w:val="005D28E1"/>
    <w:rsid w:val="005D2BDA"/>
    <w:rsid w:val="005D303E"/>
    <w:rsid w:val="005D3DA3"/>
    <w:rsid w:val="005D3F8B"/>
    <w:rsid w:val="005D4C7A"/>
    <w:rsid w:val="005D5171"/>
    <w:rsid w:val="005D54D2"/>
    <w:rsid w:val="005D6533"/>
    <w:rsid w:val="005D6DA7"/>
    <w:rsid w:val="005D6FDE"/>
    <w:rsid w:val="005E0976"/>
    <w:rsid w:val="005E1A01"/>
    <w:rsid w:val="005E3A88"/>
    <w:rsid w:val="005E3D8F"/>
    <w:rsid w:val="005E571C"/>
    <w:rsid w:val="005E69FB"/>
    <w:rsid w:val="005E6C0D"/>
    <w:rsid w:val="005E71E5"/>
    <w:rsid w:val="005E76DB"/>
    <w:rsid w:val="005F0E54"/>
    <w:rsid w:val="005F1F48"/>
    <w:rsid w:val="005F2895"/>
    <w:rsid w:val="005F296A"/>
    <w:rsid w:val="005F2D4E"/>
    <w:rsid w:val="005F36F2"/>
    <w:rsid w:val="005F3F2D"/>
    <w:rsid w:val="005F44DD"/>
    <w:rsid w:val="005F73CB"/>
    <w:rsid w:val="006015F6"/>
    <w:rsid w:val="0060204C"/>
    <w:rsid w:val="00603372"/>
    <w:rsid w:val="006037B5"/>
    <w:rsid w:val="00603D90"/>
    <w:rsid w:val="00604DEF"/>
    <w:rsid w:val="00606C87"/>
    <w:rsid w:val="00607F76"/>
    <w:rsid w:val="00614975"/>
    <w:rsid w:val="00620364"/>
    <w:rsid w:val="00620872"/>
    <w:rsid w:val="00621288"/>
    <w:rsid w:val="00621AF2"/>
    <w:rsid w:val="00622CD6"/>
    <w:rsid w:val="00622F79"/>
    <w:rsid w:val="006261D2"/>
    <w:rsid w:val="00630A29"/>
    <w:rsid w:val="00630BE6"/>
    <w:rsid w:val="0063227F"/>
    <w:rsid w:val="00632DD6"/>
    <w:rsid w:val="0063346B"/>
    <w:rsid w:val="006364BD"/>
    <w:rsid w:val="00636C70"/>
    <w:rsid w:val="00636FFD"/>
    <w:rsid w:val="00637C92"/>
    <w:rsid w:val="00640940"/>
    <w:rsid w:val="00640C5A"/>
    <w:rsid w:val="00641D79"/>
    <w:rsid w:val="006423C9"/>
    <w:rsid w:val="00644401"/>
    <w:rsid w:val="0064491D"/>
    <w:rsid w:val="006455F6"/>
    <w:rsid w:val="006469C0"/>
    <w:rsid w:val="0064716C"/>
    <w:rsid w:val="0064729E"/>
    <w:rsid w:val="0065068D"/>
    <w:rsid w:val="00653D40"/>
    <w:rsid w:val="006544B8"/>
    <w:rsid w:val="0065669B"/>
    <w:rsid w:val="00660611"/>
    <w:rsid w:val="006610FB"/>
    <w:rsid w:val="00667517"/>
    <w:rsid w:val="00667B90"/>
    <w:rsid w:val="00671F75"/>
    <w:rsid w:val="00671FBF"/>
    <w:rsid w:val="00672310"/>
    <w:rsid w:val="00672707"/>
    <w:rsid w:val="006756AE"/>
    <w:rsid w:val="00675B97"/>
    <w:rsid w:val="0067793E"/>
    <w:rsid w:val="00680177"/>
    <w:rsid w:val="00680885"/>
    <w:rsid w:val="00682080"/>
    <w:rsid w:val="00682493"/>
    <w:rsid w:val="00682547"/>
    <w:rsid w:val="00682E53"/>
    <w:rsid w:val="00683BC0"/>
    <w:rsid w:val="00683FA6"/>
    <w:rsid w:val="006846FF"/>
    <w:rsid w:val="00685A27"/>
    <w:rsid w:val="0068651F"/>
    <w:rsid w:val="0068659C"/>
    <w:rsid w:val="00687F7B"/>
    <w:rsid w:val="006901D1"/>
    <w:rsid w:val="00692F4C"/>
    <w:rsid w:val="00693583"/>
    <w:rsid w:val="0069417E"/>
    <w:rsid w:val="00695EEA"/>
    <w:rsid w:val="00695F0D"/>
    <w:rsid w:val="006961FD"/>
    <w:rsid w:val="00697A6A"/>
    <w:rsid w:val="006A062D"/>
    <w:rsid w:val="006A0D7A"/>
    <w:rsid w:val="006A1D3C"/>
    <w:rsid w:val="006A1F05"/>
    <w:rsid w:val="006A70F8"/>
    <w:rsid w:val="006A73FA"/>
    <w:rsid w:val="006A76BB"/>
    <w:rsid w:val="006B03AA"/>
    <w:rsid w:val="006B197D"/>
    <w:rsid w:val="006B35C1"/>
    <w:rsid w:val="006B4154"/>
    <w:rsid w:val="006B4F62"/>
    <w:rsid w:val="006B6CE7"/>
    <w:rsid w:val="006B74DA"/>
    <w:rsid w:val="006C49DA"/>
    <w:rsid w:val="006C4D5D"/>
    <w:rsid w:val="006C50D6"/>
    <w:rsid w:val="006C5141"/>
    <w:rsid w:val="006C6D65"/>
    <w:rsid w:val="006C6E7F"/>
    <w:rsid w:val="006C7CEF"/>
    <w:rsid w:val="006D23C2"/>
    <w:rsid w:val="006D3406"/>
    <w:rsid w:val="006D3895"/>
    <w:rsid w:val="006D40FF"/>
    <w:rsid w:val="006D4836"/>
    <w:rsid w:val="006D4F6F"/>
    <w:rsid w:val="006E591D"/>
    <w:rsid w:val="006E5D22"/>
    <w:rsid w:val="006E7295"/>
    <w:rsid w:val="006E7724"/>
    <w:rsid w:val="006F00E3"/>
    <w:rsid w:val="006F04AC"/>
    <w:rsid w:val="006F1420"/>
    <w:rsid w:val="006F260A"/>
    <w:rsid w:val="006F2B37"/>
    <w:rsid w:val="006F4A01"/>
    <w:rsid w:val="0070217A"/>
    <w:rsid w:val="00702184"/>
    <w:rsid w:val="0070264F"/>
    <w:rsid w:val="00702D18"/>
    <w:rsid w:val="007065A2"/>
    <w:rsid w:val="00706AE9"/>
    <w:rsid w:val="007111C4"/>
    <w:rsid w:val="00711236"/>
    <w:rsid w:val="0071355A"/>
    <w:rsid w:val="0071424F"/>
    <w:rsid w:val="00714572"/>
    <w:rsid w:val="00714CB9"/>
    <w:rsid w:val="00720E9E"/>
    <w:rsid w:val="00721518"/>
    <w:rsid w:val="00721E5B"/>
    <w:rsid w:val="00722D99"/>
    <w:rsid w:val="00723FCF"/>
    <w:rsid w:val="00724A70"/>
    <w:rsid w:val="0072522B"/>
    <w:rsid w:val="007268C4"/>
    <w:rsid w:val="00726EEE"/>
    <w:rsid w:val="007306AE"/>
    <w:rsid w:val="00731A59"/>
    <w:rsid w:val="00732261"/>
    <w:rsid w:val="00732FCD"/>
    <w:rsid w:val="00733175"/>
    <w:rsid w:val="0073324E"/>
    <w:rsid w:val="0073369A"/>
    <w:rsid w:val="00734B8D"/>
    <w:rsid w:val="00734C92"/>
    <w:rsid w:val="00734FD2"/>
    <w:rsid w:val="007367D9"/>
    <w:rsid w:val="007403B3"/>
    <w:rsid w:val="00741C41"/>
    <w:rsid w:val="00741DD2"/>
    <w:rsid w:val="00743BC6"/>
    <w:rsid w:val="00746075"/>
    <w:rsid w:val="0074628C"/>
    <w:rsid w:val="00746E6C"/>
    <w:rsid w:val="00747B12"/>
    <w:rsid w:val="0075022D"/>
    <w:rsid w:val="00750612"/>
    <w:rsid w:val="007527E3"/>
    <w:rsid w:val="00753327"/>
    <w:rsid w:val="007546C8"/>
    <w:rsid w:val="00756E94"/>
    <w:rsid w:val="007576BA"/>
    <w:rsid w:val="00757DDE"/>
    <w:rsid w:val="007601C2"/>
    <w:rsid w:val="00760B0C"/>
    <w:rsid w:val="00760BE8"/>
    <w:rsid w:val="00761C89"/>
    <w:rsid w:val="007622D8"/>
    <w:rsid w:val="00762FEC"/>
    <w:rsid w:val="0076304D"/>
    <w:rsid w:val="0076326B"/>
    <w:rsid w:val="00764086"/>
    <w:rsid w:val="00766BA0"/>
    <w:rsid w:val="0076711F"/>
    <w:rsid w:val="0077061B"/>
    <w:rsid w:val="007724B7"/>
    <w:rsid w:val="00772821"/>
    <w:rsid w:val="00772A58"/>
    <w:rsid w:val="00773955"/>
    <w:rsid w:val="00774E6B"/>
    <w:rsid w:val="00775840"/>
    <w:rsid w:val="00776C7D"/>
    <w:rsid w:val="00777F5D"/>
    <w:rsid w:val="00780A8A"/>
    <w:rsid w:val="00781F3E"/>
    <w:rsid w:val="00783A8D"/>
    <w:rsid w:val="00784993"/>
    <w:rsid w:val="00785167"/>
    <w:rsid w:val="00785A62"/>
    <w:rsid w:val="00785BD1"/>
    <w:rsid w:val="00785D06"/>
    <w:rsid w:val="00786C27"/>
    <w:rsid w:val="00792484"/>
    <w:rsid w:val="00792D44"/>
    <w:rsid w:val="007973AA"/>
    <w:rsid w:val="007A3164"/>
    <w:rsid w:val="007A6B5E"/>
    <w:rsid w:val="007A6C2E"/>
    <w:rsid w:val="007B0790"/>
    <w:rsid w:val="007B11B4"/>
    <w:rsid w:val="007B20CF"/>
    <w:rsid w:val="007B59B1"/>
    <w:rsid w:val="007B6C4C"/>
    <w:rsid w:val="007B77D2"/>
    <w:rsid w:val="007B7EFE"/>
    <w:rsid w:val="007C0908"/>
    <w:rsid w:val="007C229D"/>
    <w:rsid w:val="007C2936"/>
    <w:rsid w:val="007C2C49"/>
    <w:rsid w:val="007C6D37"/>
    <w:rsid w:val="007D068C"/>
    <w:rsid w:val="007D14E1"/>
    <w:rsid w:val="007D43CB"/>
    <w:rsid w:val="007D5532"/>
    <w:rsid w:val="007D6FE6"/>
    <w:rsid w:val="007E0B3F"/>
    <w:rsid w:val="007E1220"/>
    <w:rsid w:val="007E3447"/>
    <w:rsid w:val="007E3A99"/>
    <w:rsid w:val="007E4258"/>
    <w:rsid w:val="007E690F"/>
    <w:rsid w:val="007F009F"/>
    <w:rsid w:val="007F0817"/>
    <w:rsid w:val="007F2177"/>
    <w:rsid w:val="007F2281"/>
    <w:rsid w:val="007F47DC"/>
    <w:rsid w:val="00800DD6"/>
    <w:rsid w:val="00801AEC"/>
    <w:rsid w:val="00802AFF"/>
    <w:rsid w:val="00802CDF"/>
    <w:rsid w:val="00803FE0"/>
    <w:rsid w:val="0080570D"/>
    <w:rsid w:val="008059B6"/>
    <w:rsid w:val="00805A29"/>
    <w:rsid w:val="00810CAE"/>
    <w:rsid w:val="00811224"/>
    <w:rsid w:val="0081173A"/>
    <w:rsid w:val="00811BB6"/>
    <w:rsid w:val="008127F2"/>
    <w:rsid w:val="0081284D"/>
    <w:rsid w:val="0081438C"/>
    <w:rsid w:val="0081473B"/>
    <w:rsid w:val="0081600D"/>
    <w:rsid w:val="00816E3F"/>
    <w:rsid w:val="00817EF9"/>
    <w:rsid w:val="0082081E"/>
    <w:rsid w:val="008221C0"/>
    <w:rsid w:val="00822607"/>
    <w:rsid w:val="008231A3"/>
    <w:rsid w:val="008232E9"/>
    <w:rsid w:val="00823ACD"/>
    <w:rsid w:val="00824038"/>
    <w:rsid w:val="00824216"/>
    <w:rsid w:val="00824321"/>
    <w:rsid w:val="008244BC"/>
    <w:rsid w:val="00825D45"/>
    <w:rsid w:val="0082681D"/>
    <w:rsid w:val="0082691C"/>
    <w:rsid w:val="008279DE"/>
    <w:rsid w:val="00827E68"/>
    <w:rsid w:val="00830116"/>
    <w:rsid w:val="00831A52"/>
    <w:rsid w:val="00831CFF"/>
    <w:rsid w:val="008321AF"/>
    <w:rsid w:val="00832A8A"/>
    <w:rsid w:val="00833C7E"/>
    <w:rsid w:val="008343A8"/>
    <w:rsid w:val="00834D82"/>
    <w:rsid w:val="00835A80"/>
    <w:rsid w:val="00836140"/>
    <w:rsid w:val="00836A56"/>
    <w:rsid w:val="00837E0E"/>
    <w:rsid w:val="00840CE4"/>
    <w:rsid w:val="00840FF6"/>
    <w:rsid w:val="008427A7"/>
    <w:rsid w:val="008457C6"/>
    <w:rsid w:val="0084686C"/>
    <w:rsid w:val="0084774B"/>
    <w:rsid w:val="00847827"/>
    <w:rsid w:val="00850AF9"/>
    <w:rsid w:val="00852B57"/>
    <w:rsid w:val="00853C53"/>
    <w:rsid w:val="00854E03"/>
    <w:rsid w:val="0085799F"/>
    <w:rsid w:val="0086119F"/>
    <w:rsid w:val="00861F87"/>
    <w:rsid w:val="008630E4"/>
    <w:rsid w:val="00863575"/>
    <w:rsid w:val="00864061"/>
    <w:rsid w:val="00864E1A"/>
    <w:rsid w:val="00864FD2"/>
    <w:rsid w:val="0086769D"/>
    <w:rsid w:val="00870439"/>
    <w:rsid w:val="00870DF1"/>
    <w:rsid w:val="00872481"/>
    <w:rsid w:val="00872827"/>
    <w:rsid w:val="00872E22"/>
    <w:rsid w:val="00873748"/>
    <w:rsid w:val="00874043"/>
    <w:rsid w:val="008740C8"/>
    <w:rsid w:val="00874678"/>
    <w:rsid w:val="00876ED7"/>
    <w:rsid w:val="00877540"/>
    <w:rsid w:val="0087764C"/>
    <w:rsid w:val="00883D79"/>
    <w:rsid w:val="00887E5A"/>
    <w:rsid w:val="00895364"/>
    <w:rsid w:val="00895A2C"/>
    <w:rsid w:val="008A0C1D"/>
    <w:rsid w:val="008A0FF3"/>
    <w:rsid w:val="008A37D9"/>
    <w:rsid w:val="008A3A15"/>
    <w:rsid w:val="008A3DFD"/>
    <w:rsid w:val="008A4440"/>
    <w:rsid w:val="008A7488"/>
    <w:rsid w:val="008B0D1A"/>
    <w:rsid w:val="008B1776"/>
    <w:rsid w:val="008B1C2E"/>
    <w:rsid w:val="008B20CA"/>
    <w:rsid w:val="008B38C5"/>
    <w:rsid w:val="008B6CBF"/>
    <w:rsid w:val="008B73C9"/>
    <w:rsid w:val="008C01AB"/>
    <w:rsid w:val="008C0599"/>
    <w:rsid w:val="008C0A12"/>
    <w:rsid w:val="008C1373"/>
    <w:rsid w:val="008C228F"/>
    <w:rsid w:val="008C2769"/>
    <w:rsid w:val="008C38BE"/>
    <w:rsid w:val="008C50B6"/>
    <w:rsid w:val="008C5E5F"/>
    <w:rsid w:val="008C7440"/>
    <w:rsid w:val="008D0E09"/>
    <w:rsid w:val="008D193D"/>
    <w:rsid w:val="008D20F0"/>
    <w:rsid w:val="008D21A3"/>
    <w:rsid w:val="008D3246"/>
    <w:rsid w:val="008D37BF"/>
    <w:rsid w:val="008D3C9F"/>
    <w:rsid w:val="008D4B95"/>
    <w:rsid w:val="008D4D52"/>
    <w:rsid w:val="008D4EBE"/>
    <w:rsid w:val="008D578C"/>
    <w:rsid w:val="008D774E"/>
    <w:rsid w:val="008D79E1"/>
    <w:rsid w:val="008D7F75"/>
    <w:rsid w:val="008E100F"/>
    <w:rsid w:val="008E2082"/>
    <w:rsid w:val="008E3AE8"/>
    <w:rsid w:val="008F05B4"/>
    <w:rsid w:val="008F1C1D"/>
    <w:rsid w:val="008F2270"/>
    <w:rsid w:val="008F3FAD"/>
    <w:rsid w:val="008F4AC1"/>
    <w:rsid w:val="008F4DD7"/>
    <w:rsid w:val="008F7CA4"/>
    <w:rsid w:val="00900ECC"/>
    <w:rsid w:val="00901243"/>
    <w:rsid w:val="00901251"/>
    <w:rsid w:val="00904312"/>
    <w:rsid w:val="00906743"/>
    <w:rsid w:val="00906ABA"/>
    <w:rsid w:val="00906ED1"/>
    <w:rsid w:val="00913FA7"/>
    <w:rsid w:val="00915CE8"/>
    <w:rsid w:val="00917BED"/>
    <w:rsid w:val="00920C08"/>
    <w:rsid w:val="009218C2"/>
    <w:rsid w:val="00922374"/>
    <w:rsid w:val="00923378"/>
    <w:rsid w:val="00930898"/>
    <w:rsid w:val="00932108"/>
    <w:rsid w:val="0093244C"/>
    <w:rsid w:val="00933070"/>
    <w:rsid w:val="009352BB"/>
    <w:rsid w:val="0093533F"/>
    <w:rsid w:val="00935E17"/>
    <w:rsid w:val="00935E25"/>
    <w:rsid w:val="009360F0"/>
    <w:rsid w:val="009368CF"/>
    <w:rsid w:val="00936E02"/>
    <w:rsid w:val="00937A98"/>
    <w:rsid w:val="00937AEC"/>
    <w:rsid w:val="00937C5D"/>
    <w:rsid w:val="00940DCF"/>
    <w:rsid w:val="00941462"/>
    <w:rsid w:val="009425CE"/>
    <w:rsid w:val="009426F6"/>
    <w:rsid w:val="009452B6"/>
    <w:rsid w:val="00950084"/>
    <w:rsid w:val="0095078A"/>
    <w:rsid w:val="00951BDF"/>
    <w:rsid w:val="00951E29"/>
    <w:rsid w:val="0095321E"/>
    <w:rsid w:val="00953E4B"/>
    <w:rsid w:val="00954097"/>
    <w:rsid w:val="00955017"/>
    <w:rsid w:val="0095602F"/>
    <w:rsid w:val="009571A1"/>
    <w:rsid w:val="009609BA"/>
    <w:rsid w:val="00961B6E"/>
    <w:rsid w:val="00961BEB"/>
    <w:rsid w:val="00965D48"/>
    <w:rsid w:val="009673FE"/>
    <w:rsid w:val="00971C69"/>
    <w:rsid w:val="00972972"/>
    <w:rsid w:val="00972995"/>
    <w:rsid w:val="00974A46"/>
    <w:rsid w:val="009756CF"/>
    <w:rsid w:val="00975AFA"/>
    <w:rsid w:val="00976A0A"/>
    <w:rsid w:val="0098000E"/>
    <w:rsid w:val="0098142C"/>
    <w:rsid w:val="00982EF6"/>
    <w:rsid w:val="009830EA"/>
    <w:rsid w:val="009858BA"/>
    <w:rsid w:val="00987954"/>
    <w:rsid w:val="00990B3A"/>
    <w:rsid w:val="00990DF2"/>
    <w:rsid w:val="00991480"/>
    <w:rsid w:val="009963F3"/>
    <w:rsid w:val="00996E70"/>
    <w:rsid w:val="009A06DA"/>
    <w:rsid w:val="009A11D4"/>
    <w:rsid w:val="009A16CF"/>
    <w:rsid w:val="009A1E27"/>
    <w:rsid w:val="009A2122"/>
    <w:rsid w:val="009A47FE"/>
    <w:rsid w:val="009A485A"/>
    <w:rsid w:val="009A5130"/>
    <w:rsid w:val="009A6104"/>
    <w:rsid w:val="009A6595"/>
    <w:rsid w:val="009A6DD1"/>
    <w:rsid w:val="009B04F9"/>
    <w:rsid w:val="009B143D"/>
    <w:rsid w:val="009B375C"/>
    <w:rsid w:val="009B3D0C"/>
    <w:rsid w:val="009B56CA"/>
    <w:rsid w:val="009C0185"/>
    <w:rsid w:val="009C456A"/>
    <w:rsid w:val="009C5E34"/>
    <w:rsid w:val="009C6B4E"/>
    <w:rsid w:val="009C7B1C"/>
    <w:rsid w:val="009D052E"/>
    <w:rsid w:val="009D0624"/>
    <w:rsid w:val="009D17D8"/>
    <w:rsid w:val="009D1EAB"/>
    <w:rsid w:val="009D2895"/>
    <w:rsid w:val="009D3D67"/>
    <w:rsid w:val="009D3FDC"/>
    <w:rsid w:val="009D3FF5"/>
    <w:rsid w:val="009D615D"/>
    <w:rsid w:val="009D673C"/>
    <w:rsid w:val="009D742E"/>
    <w:rsid w:val="009D764D"/>
    <w:rsid w:val="009D7884"/>
    <w:rsid w:val="009E0DD2"/>
    <w:rsid w:val="009E1FCD"/>
    <w:rsid w:val="009E2546"/>
    <w:rsid w:val="009E26F9"/>
    <w:rsid w:val="009E3589"/>
    <w:rsid w:val="009E49E3"/>
    <w:rsid w:val="009F04BB"/>
    <w:rsid w:val="009F09B6"/>
    <w:rsid w:val="009F276B"/>
    <w:rsid w:val="009F2AB9"/>
    <w:rsid w:val="009F7006"/>
    <w:rsid w:val="00A01CE1"/>
    <w:rsid w:val="00A01CE5"/>
    <w:rsid w:val="00A05EF7"/>
    <w:rsid w:val="00A10F35"/>
    <w:rsid w:val="00A1189B"/>
    <w:rsid w:val="00A1570A"/>
    <w:rsid w:val="00A1748A"/>
    <w:rsid w:val="00A174C9"/>
    <w:rsid w:val="00A17A43"/>
    <w:rsid w:val="00A201DD"/>
    <w:rsid w:val="00A24514"/>
    <w:rsid w:val="00A24ED3"/>
    <w:rsid w:val="00A2543B"/>
    <w:rsid w:val="00A256B9"/>
    <w:rsid w:val="00A26DA4"/>
    <w:rsid w:val="00A26DCE"/>
    <w:rsid w:val="00A26FFF"/>
    <w:rsid w:val="00A273C2"/>
    <w:rsid w:val="00A30C2B"/>
    <w:rsid w:val="00A31670"/>
    <w:rsid w:val="00A31F60"/>
    <w:rsid w:val="00A326AB"/>
    <w:rsid w:val="00A33A7E"/>
    <w:rsid w:val="00A33D7C"/>
    <w:rsid w:val="00A348C2"/>
    <w:rsid w:val="00A36F3A"/>
    <w:rsid w:val="00A377CD"/>
    <w:rsid w:val="00A418AC"/>
    <w:rsid w:val="00A418DD"/>
    <w:rsid w:val="00A41E83"/>
    <w:rsid w:val="00A42666"/>
    <w:rsid w:val="00A465B3"/>
    <w:rsid w:val="00A476A9"/>
    <w:rsid w:val="00A5143B"/>
    <w:rsid w:val="00A51DDC"/>
    <w:rsid w:val="00A54497"/>
    <w:rsid w:val="00A544A5"/>
    <w:rsid w:val="00A552F4"/>
    <w:rsid w:val="00A55716"/>
    <w:rsid w:val="00A55732"/>
    <w:rsid w:val="00A55FA0"/>
    <w:rsid w:val="00A56818"/>
    <w:rsid w:val="00A56AB9"/>
    <w:rsid w:val="00A57332"/>
    <w:rsid w:val="00A5735C"/>
    <w:rsid w:val="00A60080"/>
    <w:rsid w:val="00A618CC"/>
    <w:rsid w:val="00A6219B"/>
    <w:rsid w:val="00A64384"/>
    <w:rsid w:val="00A64902"/>
    <w:rsid w:val="00A6560B"/>
    <w:rsid w:val="00A656FD"/>
    <w:rsid w:val="00A65DE8"/>
    <w:rsid w:val="00A6717F"/>
    <w:rsid w:val="00A67289"/>
    <w:rsid w:val="00A67CB1"/>
    <w:rsid w:val="00A70627"/>
    <w:rsid w:val="00A70A64"/>
    <w:rsid w:val="00A71859"/>
    <w:rsid w:val="00A71A6C"/>
    <w:rsid w:val="00A71C10"/>
    <w:rsid w:val="00A71CD0"/>
    <w:rsid w:val="00A72867"/>
    <w:rsid w:val="00A7297D"/>
    <w:rsid w:val="00A72D69"/>
    <w:rsid w:val="00A738DA"/>
    <w:rsid w:val="00A74469"/>
    <w:rsid w:val="00A74B92"/>
    <w:rsid w:val="00A74D0E"/>
    <w:rsid w:val="00A7515E"/>
    <w:rsid w:val="00A7627D"/>
    <w:rsid w:val="00A7671E"/>
    <w:rsid w:val="00A77A50"/>
    <w:rsid w:val="00A77FE2"/>
    <w:rsid w:val="00A8096B"/>
    <w:rsid w:val="00A81BE7"/>
    <w:rsid w:val="00A83E14"/>
    <w:rsid w:val="00A84536"/>
    <w:rsid w:val="00A84BFA"/>
    <w:rsid w:val="00A857BE"/>
    <w:rsid w:val="00A85A62"/>
    <w:rsid w:val="00A862E6"/>
    <w:rsid w:val="00A86D6E"/>
    <w:rsid w:val="00A90485"/>
    <w:rsid w:val="00A91311"/>
    <w:rsid w:val="00A9392B"/>
    <w:rsid w:val="00A95BAC"/>
    <w:rsid w:val="00A967FB"/>
    <w:rsid w:val="00A96AE1"/>
    <w:rsid w:val="00AA3268"/>
    <w:rsid w:val="00AA3C9B"/>
    <w:rsid w:val="00AA46C8"/>
    <w:rsid w:val="00AA4B0D"/>
    <w:rsid w:val="00AA57C0"/>
    <w:rsid w:val="00AA60C0"/>
    <w:rsid w:val="00AA656F"/>
    <w:rsid w:val="00AA68D4"/>
    <w:rsid w:val="00AA6C7C"/>
    <w:rsid w:val="00AA7574"/>
    <w:rsid w:val="00AB08F7"/>
    <w:rsid w:val="00AB0B39"/>
    <w:rsid w:val="00AB3703"/>
    <w:rsid w:val="00AB3973"/>
    <w:rsid w:val="00AB6139"/>
    <w:rsid w:val="00AC381E"/>
    <w:rsid w:val="00AC3D00"/>
    <w:rsid w:val="00AC40CA"/>
    <w:rsid w:val="00AC4502"/>
    <w:rsid w:val="00AC6825"/>
    <w:rsid w:val="00AD0CFA"/>
    <w:rsid w:val="00AD1C76"/>
    <w:rsid w:val="00AD1E62"/>
    <w:rsid w:val="00AD4706"/>
    <w:rsid w:val="00AD566F"/>
    <w:rsid w:val="00AD5EC2"/>
    <w:rsid w:val="00AD766E"/>
    <w:rsid w:val="00AE0565"/>
    <w:rsid w:val="00AE2784"/>
    <w:rsid w:val="00AE2E00"/>
    <w:rsid w:val="00AE3622"/>
    <w:rsid w:val="00AE3F8F"/>
    <w:rsid w:val="00AE4C18"/>
    <w:rsid w:val="00AE6AEF"/>
    <w:rsid w:val="00AE6F2D"/>
    <w:rsid w:val="00AE742F"/>
    <w:rsid w:val="00AF122B"/>
    <w:rsid w:val="00AF13D6"/>
    <w:rsid w:val="00AF1806"/>
    <w:rsid w:val="00AF45E2"/>
    <w:rsid w:val="00AF55F6"/>
    <w:rsid w:val="00AF5AF2"/>
    <w:rsid w:val="00AF6465"/>
    <w:rsid w:val="00AF6B12"/>
    <w:rsid w:val="00AF6BB0"/>
    <w:rsid w:val="00AF70BA"/>
    <w:rsid w:val="00AF715C"/>
    <w:rsid w:val="00AF7C15"/>
    <w:rsid w:val="00B01064"/>
    <w:rsid w:val="00B0380F"/>
    <w:rsid w:val="00B03A5E"/>
    <w:rsid w:val="00B04333"/>
    <w:rsid w:val="00B049D7"/>
    <w:rsid w:val="00B04DFE"/>
    <w:rsid w:val="00B052EC"/>
    <w:rsid w:val="00B07638"/>
    <w:rsid w:val="00B07F0B"/>
    <w:rsid w:val="00B101D3"/>
    <w:rsid w:val="00B11C43"/>
    <w:rsid w:val="00B1313E"/>
    <w:rsid w:val="00B14D38"/>
    <w:rsid w:val="00B202D5"/>
    <w:rsid w:val="00B2034E"/>
    <w:rsid w:val="00B20A61"/>
    <w:rsid w:val="00B22FC8"/>
    <w:rsid w:val="00B24571"/>
    <w:rsid w:val="00B260DB"/>
    <w:rsid w:val="00B264E3"/>
    <w:rsid w:val="00B26C55"/>
    <w:rsid w:val="00B30BDA"/>
    <w:rsid w:val="00B31DDA"/>
    <w:rsid w:val="00B3376A"/>
    <w:rsid w:val="00B34DF0"/>
    <w:rsid w:val="00B36AB7"/>
    <w:rsid w:val="00B4046D"/>
    <w:rsid w:val="00B41AD4"/>
    <w:rsid w:val="00B423D2"/>
    <w:rsid w:val="00B42576"/>
    <w:rsid w:val="00B42B27"/>
    <w:rsid w:val="00B46A8D"/>
    <w:rsid w:val="00B50EA2"/>
    <w:rsid w:val="00B51D0B"/>
    <w:rsid w:val="00B51D27"/>
    <w:rsid w:val="00B55035"/>
    <w:rsid w:val="00B576D1"/>
    <w:rsid w:val="00B57973"/>
    <w:rsid w:val="00B63442"/>
    <w:rsid w:val="00B643FD"/>
    <w:rsid w:val="00B64C74"/>
    <w:rsid w:val="00B6579D"/>
    <w:rsid w:val="00B72BB7"/>
    <w:rsid w:val="00B7330B"/>
    <w:rsid w:val="00B73427"/>
    <w:rsid w:val="00B76230"/>
    <w:rsid w:val="00B76C71"/>
    <w:rsid w:val="00B80FBD"/>
    <w:rsid w:val="00B822B0"/>
    <w:rsid w:val="00B82590"/>
    <w:rsid w:val="00B852C7"/>
    <w:rsid w:val="00B85654"/>
    <w:rsid w:val="00B87D61"/>
    <w:rsid w:val="00B92DB3"/>
    <w:rsid w:val="00B93B0D"/>
    <w:rsid w:val="00B949A9"/>
    <w:rsid w:val="00B94ADD"/>
    <w:rsid w:val="00B9552B"/>
    <w:rsid w:val="00B96BC2"/>
    <w:rsid w:val="00B9777A"/>
    <w:rsid w:val="00BA0FD6"/>
    <w:rsid w:val="00BA15FE"/>
    <w:rsid w:val="00BA1B21"/>
    <w:rsid w:val="00BA4904"/>
    <w:rsid w:val="00BA4D29"/>
    <w:rsid w:val="00BA56B1"/>
    <w:rsid w:val="00BA6719"/>
    <w:rsid w:val="00BA67B4"/>
    <w:rsid w:val="00BA6FEA"/>
    <w:rsid w:val="00BB0504"/>
    <w:rsid w:val="00BB233A"/>
    <w:rsid w:val="00BB4245"/>
    <w:rsid w:val="00BB5309"/>
    <w:rsid w:val="00BB57C5"/>
    <w:rsid w:val="00BB57EE"/>
    <w:rsid w:val="00BB7482"/>
    <w:rsid w:val="00BC088F"/>
    <w:rsid w:val="00BC2947"/>
    <w:rsid w:val="00BC3749"/>
    <w:rsid w:val="00BC4008"/>
    <w:rsid w:val="00BC579B"/>
    <w:rsid w:val="00BC70B8"/>
    <w:rsid w:val="00BC7307"/>
    <w:rsid w:val="00BC7F56"/>
    <w:rsid w:val="00BD07BC"/>
    <w:rsid w:val="00BD1047"/>
    <w:rsid w:val="00BD1708"/>
    <w:rsid w:val="00BD1CDE"/>
    <w:rsid w:val="00BD30A5"/>
    <w:rsid w:val="00BD3197"/>
    <w:rsid w:val="00BD35C6"/>
    <w:rsid w:val="00BD431E"/>
    <w:rsid w:val="00BD7F07"/>
    <w:rsid w:val="00BE04BC"/>
    <w:rsid w:val="00BE21B5"/>
    <w:rsid w:val="00BE3686"/>
    <w:rsid w:val="00BE375B"/>
    <w:rsid w:val="00BE5124"/>
    <w:rsid w:val="00BE5B3F"/>
    <w:rsid w:val="00BE672D"/>
    <w:rsid w:val="00BE684E"/>
    <w:rsid w:val="00BF32D0"/>
    <w:rsid w:val="00BF3351"/>
    <w:rsid w:val="00BF3DE0"/>
    <w:rsid w:val="00BF49E3"/>
    <w:rsid w:val="00BF5128"/>
    <w:rsid w:val="00BF51CF"/>
    <w:rsid w:val="00BF51EE"/>
    <w:rsid w:val="00BF57EB"/>
    <w:rsid w:val="00BF7F40"/>
    <w:rsid w:val="00C00674"/>
    <w:rsid w:val="00C05627"/>
    <w:rsid w:val="00C065F6"/>
    <w:rsid w:val="00C106F2"/>
    <w:rsid w:val="00C10719"/>
    <w:rsid w:val="00C10B7E"/>
    <w:rsid w:val="00C15CC2"/>
    <w:rsid w:val="00C16746"/>
    <w:rsid w:val="00C2163A"/>
    <w:rsid w:val="00C21AB6"/>
    <w:rsid w:val="00C22C2C"/>
    <w:rsid w:val="00C231FD"/>
    <w:rsid w:val="00C25AA0"/>
    <w:rsid w:val="00C27653"/>
    <w:rsid w:val="00C27E36"/>
    <w:rsid w:val="00C32D7F"/>
    <w:rsid w:val="00C3488D"/>
    <w:rsid w:val="00C34D48"/>
    <w:rsid w:val="00C3510B"/>
    <w:rsid w:val="00C3570F"/>
    <w:rsid w:val="00C36777"/>
    <w:rsid w:val="00C370E3"/>
    <w:rsid w:val="00C40248"/>
    <w:rsid w:val="00C40DB4"/>
    <w:rsid w:val="00C435CD"/>
    <w:rsid w:val="00C435D5"/>
    <w:rsid w:val="00C44720"/>
    <w:rsid w:val="00C46776"/>
    <w:rsid w:val="00C46799"/>
    <w:rsid w:val="00C4688C"/>
    <w:rsid w:val="00C471BD"/>
    <w:rsid w:val="00C51DAF"/>
    <w:rsid w:val="00C51E6F"/>
    <w:rsid w:val="00C52E27"/>
    <w:rsid w:val="00C5582D"/>
    <w:rsid w:val="00C6065F"/>
    <w:rsid w:val="00C60BE3"/>
    <w:rsid w:val="00C61CA4"/>
    <w:rsid w:val="00C649ED"/>
    <w:rsid w:val="00C650FD"/>
    <w:rsid w:val="00C65199"/>
    <w:rsid w:val="00C6612C"/>
    <w:rsid w:val="00C668FE"/>
    <w:rsid w:val="00C67E30"/>
    <w:rsid w:val="00C70707"/>
    <w:rsid w:val="00C70F57"/>
    <w:rsid w:val="00C710B0"/>
    <w:rsid w:val="00C7245F"/>
    <w:rsid w:val="00C72E3A"/>
    <w:rsid w:val="00C73ECE"/>
    <w:rsid w:val="00C776EE"/>
    <w:rsid w:val="00C77DA6"/>
    <w:rsid w:val="00C8016A"/>
    <w:rsid w:val="00C810B8"/>
    <w:rsid w:val="00C82555"/>
    <w:rsid w:val="00C82B14"/>
    <w:rsid w:val="00C84A85"/>
    <w:rsid w:val="00C84B23"/>
    <w:rsid w:val="00C86987"/>
    <w:rsid w:val="00C92222"/>
    <w:rsid w:val="00C955A6"/>
    <w:rsid w:val="00C958D5"/>
    <w:rsid w:val="00C97185"/>
    <w:rsid w:val="00C97760"/>
    <w:rsid w:val="00C97C4B"/>
    <w:rsid w:val="00CA1FF3"/>
    <w:rsid w:val="00CA2922"/>
    <w:rsid w:val="00CA2C07"/>
    <w:rsid w:val="00CA33E3"/>
    <w:rsid w:val="00CA3EE5"/>
    <w:rsid w:val="00CA69A5"/>
    <w:rsid w:val="00CA7BE5"/>
    <w:rsid w:val="00CB0390"/>
    <w:rsid w:val="00CB0C71"/>
    <w:rsid w:val="00CB2300"/>
    <w:rsid w:val="00CB246D"/>
    <w:rsid w:val="00CB3966"/>
    <w:rsid w:val="00CB6255"/>
    <w:rsid w:val="00CC0268"/>
    <w:rsid w:val="00CC16BB"/>
    <w:rsid w:val="00CC24E9"/>
    <w:rsid w:val="00CC2712"/>
    <w:rsid w:val="00CC3550"/>
    <w:rsid w:val="00CC3795"/>
    <w:rsid w:val="00CC3E1B"/>
    <w:rsid w:val="00CC4C58"/>
    <w:rsid w:val="00CC7105"/>
    <w:rsid w:val="00CC7612"/>
    <w:rsid w:val="00CC791A"/>
    <w:rsid w:val="00CD0BC8"/>
    <w:rsid w:val="00CD11B4"/>
    <w:rsid w:val="00CD2023"/>
    <w:rsid w:val="00CD3AEB"/>
    <w:rsid w:val="00CD62D2"/>
    <w:rsid w:val="00CD649B"/>
    <w:rsid w:val="00CD64ED"/>
    <w:rsid w:val="00CE1246"/>
    <w:rsid w:val="00CE2F95"/>
    <w:rsid w:val="00CE4252"/>
    <w:rsid w:val="00CE5267"/>
    <w:rsid w:val="00CE5359"/>
    <w:rsid w:val="00CE5583"/>
    <w:rsid w:val="00CE6CC1"/>
    <w:rsid w:val="00CF0D66"/>
    <w:rsid w:val="00CF0E74"/>
    <w:rsid w:val="00CF30C0"/>
    <w:rsid w:val="00CF4729"/>
    <w:rsid w:val="00CF646E"/>
    <w:rsid w:val="00CF68BA"/>
    <w:rsid w:val="00CF75A9"/>
    <w:rsid w:val="00D00F6B"/>
    <w:rsid w:val="00D01279"/>
    <w:rsid w:val="00D01908"/>
    <w:rsid w:val="00D02FC7"/>
    <w:rsid w:val="00D034B1"/>
    <w:rsid w:val="00D04BE7"/>
    <w:rsid w:val="00D05F51"/>
    <w:rsid w:val="00D0645A"/>
    <w:rsid w:val="00D1007A"/>
    <w:rsid w:val="00D11082"/>
    <w:rsid w:val="00D1135B"/>
    <w:rsid w:val="00D1375D"/>
    <w:rsid w:val="00D14D8A"/>
    <w:rsid w:val="00D15613"/>
    <w:rsid w:val="00D15EAB"/>
    <w:rsid w:val="00D1669D"/>
    <w:rsid w:val="00D20AB0"/>
    <w:rsid w:val="00D21BA7"/>
    <w:rsid w:val="00D22D4B"/>
    <w:rsid w:val="00D23046"/>
    <w:rsid w:val="00D24154"/>
    <w:rsid w:val="00D24240"/>
    <w:rsid w:val="00D256F9"/>
    <w:rsid w:val="00D25BFD"/>
    <w:rsid w:val="00D25DCB"/>
    <w:rsid w:val="00D26A2D"/>
    <w:rsid w:val="00D2728B"/>
    <w:rsid w:val="00D301BA"/>
    <w:rsid w:val="00D3155F"/>
    <w:rsid w:val="00D32A29"/>
    <w:rsid w:val="00D34740"/>
    <w:rsid w:val="00D40CE8"/>
    <w:rsid w:val="00D41637"/>
    <w:rsid w:val="00D425E9"/>
    <w:rsid w:val="00D4386C"/>
    <w:rsid w:val="00D43A50"/>
    <w:rsid w:val="00D450A3"/>
    <w:rsid w:val="00D45801"/>
    <w:rsid w:val="00D4777E"/>
    <w:rsid w:val="00D51934"/>
    <w:rsid w:val="00D51A4F"/>
    <w:rsid w:val="00D51B9F"/>
    <w:rsid w:val="00D51D22"/>
    <w:rsid w:val="00D51E55"/>
    <w:rsid w:val="00D5264A"/>
    <w:rsid w:val="00D531DC"/>
    <w:rsid w:val="00D54056"/>
    <w:rsid w:val="00D55227"/>
    <w:rsid w:val="00D614C1"/>
    <w:rsid w:val="00D61F7B"/>
    <w:rsid w:val="00D6272C"/>
    <w:rsid w:val="00D67F02"/>
    <w:rsid w:val="00D705BB"/>
    <w:rsid w:val="00D7317A"/>
    <w:rsid w:val="00D75A55"/>
    <w:rsid w:val="00D76C13"/>
    <w:rsid w:val="00D77EEA"/>
    <w:rsid w:val="00D8327C"/>
    <w:rsid w:val="00D844D0"/>
    <w:rsid w:val="00D84D17"/>
    <w:rsid w:val="00D85333"/>
    <w:rsid w:val="00D85929"/>
    <w:rsid w:val="00D859C5"/>
    <w:rsid w:val="00D85BA3"/>
    <w:rsid w:val="00D860D1"/>
    <w:rsid w:val="00D86B27"/>
    <w:rsid w:val="00D87C8B"/>
    <w:rsid w:val="00D924CE"/>
    <w:rsid w:val="00D928CF"/>
    <w:rsid w:val="00D92DF1"/>
    <w:rsid w:val="00D9403D"/>
    <w:rsid w:val="00D94B6E"/>
    <w:rsid w:val="00D9567B"/>
    <w:rsid w:val="00D96210"/>
    <w:rsid w:val="00DA050C"/>
    <w:rsid w:val="00DA0E58"/>
    <w:rsid w:val="00DA22A4"/>
    <w:rsid w:val="00DA4903"/>
    <w:rsid w:val="00DA5EA9"/>
    <w:rsid w:val="00DA79DC"/>
    <w:rsid w:val="00DB0483"/>
    <w:rsid w:val="00DB1567"/>
    <w:rsid w:val="00DB27DE"/>
    <w:rsid w:val="00DB3F64"/>
    <w:rsid w:val="00DB4013"/>
    <w:rsid w:val="00DB5C69"/>
    <w:rsid w:val="00DB5F27"/>
    <w:rsid w:val="00DB6138"/>
    <w:rsid w:val="00DC131F"/>
    <w:rsid w:val="00DC16E8"/>
    <w:rsid w:val="00DC1CD4"/>
    <w:rsid w:val="00DC28B9"/>
    <w:rsid w:val="00DC2B42"/>
    <w:rsid w:val="00DC42AC"/>
    <w:rsid w:val="00DC6049"/>
    <w:rsid w:val="00DC6221"/>
    <w:rsid w:val="00DC69C6"/>
    <w:rsid w:val="00DC6C24"/>
    <w:rsid w:val="00DC7910"/>
    <w:rsid w:val="00DC7BB4"/>
    <w:rsid w:val="00DD0740"/>
    <w:rsid w:val="00DD2DA7"/>
    <w:rsid w:val="00DD5278"/>
    <w:rsid w:val="00DD67BF"/>
    <w:rsid w:val="00DD6A11"/>
    <w:rsid w:val="00DD6C5F"/>
    <w:rsid w:val="00DD7D44"/>
    <w:rsid w:val="00DE055D"/>
    <w:rsid w:val="00DE190F"/>
    <w:rsid w:val="00DE3925"/>
    <w:rsid w:val="00DE3F6B"/>
    <w:rsid w:val="00DE4269"/>
    <w:rsid w:val="00DE469F"/>
    <w:rsid w:val="00DE53C5"/>
    <w:rsid w:val="00DE5648"/>
    <w:rsid w:val="00DE5D80"/>
    <w:rsid w:val="00DE62B0"/>
    <w:rsid w:val="00DF0725"/>
    <w:rsid w:val="00DF077D"/>
    <w:rsid w:val="00DF17FC"/>
    <w:rsid w:val="00DF3EF6"/>
    <w:rsid w:val="00DF7FC9"/>
    <w:rsid w:val="00E004D3"/>
    <w:rsid w:val="00E00741"/>
    <w:rsid w:val="00E03177"/>
    <w:rsid w:val="00E03532"/>
    <w:rsid w:val="00E05CCA"/>
    <w:rsid w:val="00E0606C"/>
    <w:rsid w:val="00E06B00"/>
    <w:rsid w:val="00E06EA1"/>
    <w:rsid w:val="00E10912"/>
    <w:rsid w:val="00E11C7C"/>
    <w:rsid w:val="00E13686"/>
    <w:rsid w:val="00E14A53"/>
    <w:rsid w:val="00E14D22"/>
    <w:rsid w:val="00E14E54"/>
    <w:rsid w:val="00E1540A"/>
    <w:rsid w:val="00E16FEA"/>
    <w:rsid w:val="00E17803"/>
    <w:rsid w:val="00E179C7"/>
    <w:rsid w:val="00E21095"/>
    <w:rsid w:val="00E224A5"/>
    <w:rsid w:val="00E24046"/>
    <w:rsid w:val="00E240D2"/>
    <w:rsid w:val="00E2440E"/>
    <w:rsid w:val="00E24A1F"/>
    <w:rsid w:val="00E266E5"/>
    <w:rsid w:val="00E266FA"/>
    <w:rsid w:val="00E27166"/>
    <w:rsid w:val="00E27430"/>
    <w:rsid w:val="00E275A1"/>
    <w:rsid w:val="00E3585B"/>
    <w:rsid w:val="00E35970"/>
    <w:rsid w:val="00E36427"/>
    <w:rsid w:val="00E36F34"/>
    <w:rsid w:val="00E42D27"/>
    <w:rsid w:val="00E440AF"/>
    <w:rsid w:val="00E45AB0"/>
    <w:rsid w:val="00E45C83"/>
    <w:rsid w:val="00E464C4"/>
    <w:rsid w:val="00E4745D"/>
    <w:rsid w:val="00E475F6"/>
    <w:rsid w:val="00E52776"/>
    <w:rsid w:val="00E52BF6"/>
    <w:rsid w:val="00E548F1"/>
    <w:rsid w:val="00E54A63"/>
    <w:rsid w:val="00E56FA6"/>
    <w:rsid w:val="00E575E9"/>
    <w:rsid w:val="00E5782C"/>
    <w:rsid w:val="00E57A91"/>
    <w:rsid w:val="00E57E3D"/>
    <w:rsid w:val="00E60309"/>
    <w:rsid w:val="00E60F6E"/>
    <w:rsid w:val="00E6160C"/>
    <w:rsid w:val="00E61D4E"/>
    <w:rsid w:val="00E64670"/>
    <w:rsid w:val="00E6584C"/>
    <w:rsid w:val="00E6725F"/>
    <w:rsid w:val="00E708AB"/>
    <w:rsid w:val="00E71041"/>
    <w:rsid w:val="00E71B24"/>
    <w:rsid w:val="00E72560"/>
    <w:rsid w:val="00E77832"/>
    <w:rsid w:val="00E8143B"/>
    <w:rsid w:val="00E83476"/>
    <w:rsid w:val="00E83674"/>
    <w:rsid w:val="00E837D7"/>
    <w:rsid w:val="00E840AD"/>
    <w:rsid w:val="00E841E9"/>
    <w:rsid w:val="00E8427D"/>
    <w:rsid w:val="00E8498E"/>
    <w:rsid w:val="00E8705D"/>
    <w:rsid w:val="00E8776F"/>
    <w:rsid w:val="00E904E0"/>
    <w:rsid w:val="00E93564"/>
    <w:rsid w:val="00E940BA"/>
    <w:rsid w:val="00E94190"/>
    <w:rsid w:val="00E9431F"/>
    <w:rsid w:val="00E9477E"/>
    <w:rsid w:val="00E95015"/>
    <w:rsid w:val="00E95DA6"/>
    <w:rsid w:val="00E9621B"/>
    <w:rsid w:val="00E97A02"/>
    <w:rsid w:val="00EA03F0"/>
    <w:rsid w:val="00EA094F"/>
    <w:rsid w:val="00EA1FDD"/>
    <w:rsid w:val="00EA3CAB"/>
    <w:rsid w:val="00EA78F1"/>
    <w:rsid w:val="00EB00FB"/>
    <w:rsid w:val="00EB2B95"/>
    <w:rsid w:val="00EB3A6B"/>
    <w:rsid w:val="00EB5391"/>
    <w:rsid w:val="00EB5C74"/>
    <w:rsid w:val="00EB7AF7"/>
    <w:rsid w:val="00EC0B2A"/>
    <w:rsid w:val="00EC1B33"/>
    <w:rsid w:val="00EC35DD"/>
    <w:rsid w:val="00EC3A24"/>
    <w:rsid w:val="00EC4F04"/>
    <w:rsid w:val="00EC554F"/>
    <w:rsid w:val="00EC588A"/>
    <w:rsid w:val="00EC5D3E"/>
    <w:rsid w:val="00EC6394"/>
    <w:rsid w:val="00EC6C43"/>
    <w:rsid w:val="00ED1636"/>
    <w:rsid w:val="00ED1EF1"/>
    <w:rsid w:val="00ED2611"/>
    <w:rsid w:val="00ED339B"/>
    <w:rsid w:val="00ED48F3"/>
    <w:rsid w:val="00ED4F7D"/>
    <w:rsid w:val="00ED609D"/>
    <w:rsid w:val="00ED7A14"/>
    <w:rsid w:val="00EE0122"/>
    <w:rsid w:val="00EE066D"/>
    <w:rsid w:val="00EE10AA"/>
    <w:rsid w:val="00EE12E2"/>
    <w:rsid w:val="00EE2228"/>
    <w:rsid w:val="00EE32AA"/>
    <w:rsid w:val="00EE43B6"/>
    <w:rsid w:val="00EE4444"/>
    <w:rsid w:val="00EE4812"/>
    <w:rsid w:val="00EE502D"/>
    <w:rsid w:val="00EF0794"/>
    <w:rsid w:val="00EF15DE"/>
    <w:rsid w:val="00EF30C9"/>
    <w:rsid w:val="00EF38A4"/>
    <w:rsid w:val="00EF4407"/>
    <w:rsid w:val="00EF7CD1"/>
    <w:rsid w:val="00F00A3E"/>
    <w:rsid w:val="00F00A67"/>
    <w:rsid w:val="00F00CD7"/>
    <w:rsid w:val="00F01D23"/>
    <w:rsid w:val="00F020F3"/>
    <w:rsid w:val="00F03A67"/>
    <w:rsid w:val="00F043A1"/>
    <w:rsid w:val="00F0543E"/>
    <w:rsid w:val="00F061B5"/>
    <w:rsid w:val="00F06299"/>
    <w:rsid w:val="00F073ED"/>
    <w:rsid w:val="00F07EEB"/>
    <w:rsid w:val="00F1001C"/>
    <w:rsid w:val="00F11F80"/>
    <w:rsid w:val="00F1252B"/>
    <w:rsid w:val="00F14184"/>
    <w:rsid w:val="00F141A2"/>
    <w:rsid w:val="00F148F5"/>
    <w:rsid w:val="00F158BA"/>
    <w:rsid w:val="00F158FD"/>
    <w:rsid w:val="00F15E99"/>
    <w:rsid w:val="00F169AE"/>
    <w:rsid w:val="00F17B18"/>
    <w:rsid w:val="00F21A72"/>
    <w:rsid w:val="00F22C8E"/>
    <w:rsid w:val="00F22E2A"/>
    <w:rsid w:val="00F250F6"/>
    <w:rsid w:val="00F263C2"/>
    <w:rsid w:val="00F26A4B"/>
    <w:rsid w:val="00F30411"/>
    <w:rsid w:val="00F32F9D"/>
    <w:rsid w:val="00F335C6"/>
    <w:rsid w:val="00F33D72"/>
    <w:rsid w:val="00F3598E"/>
    <w:rsid w:val="00F35FBF"/>
    <w:rsid w:val="00F369C8"/>
    <w:rsid w:val="00F36C19"/>
    <w:rsid w:val="00F405DD"/>
    <w:rsid w:val="00F41532"/>
    <w:rsid w:val="00F42850"/>
    <w:rsid w:val="00F4542B"/>
    <w:rsid w:val="00F454A0"/>
    <w:rsid w:val="00F46540"/>
    <w:rsid w:val="00F47E9C"/>
    <w:rsid w:val="00F50117"/>
    <w:rsid w:val="00F50614"/>
    <w:rsid w:val="00F5382E"/>
    <w:rsid w:val="00F5440F"/>
    <w:rsid w:val="00F548B2"/>
    <w:rsid w:val="00F562B9"/>
    <w:rsid w:val="00F5634B"/>
    <w:rsid w:val="00F568E1"/>
    <w:rsid w:val="00F615A7"/>
    <w:rsid w:val="00F653FF"/>
    <w:rsid w:val="00F71B6B"/>
    <w:rsid w:val="00F72529"/>
    <w:rsid w:val="00F73FC0"/>
    <w:rsid w:val="00F8022D"/>
    <w:rsid w:val="00F806AD"/>
    <w:rsid w:val="00F80701"/>
    <w:rsid w:val="00F80795"/>
    <w:rsid w:val="00F82632"/>
    <w:rsid w:val="00F84426"/>
    <w:rsid w:val="00F84E13"/>
    <w:rsid w:val="00F850B9"/>
    <w:rsid w:val="00F85B45"/>
    <w:rsid w:val="00F868C0"/>
    <w:rsid w:val="00F87017"/>
    <w:rsid w:val="00F9084E"/>
    <w:rsid w:val="00F90AD4"/>
    <w:rsid w:val="00F9122C"/>
    <w:rsid w:val="00F917DF"/>
    <w:rsid w:val="00F92407"/>
    <w:rsid w:val="00F93AB0"/>
    <w:rsid w:val="00F97161"/>
    <w:rsid w:val="00FA0E23"/>
    <w:rsid w:val="00FA263B"/>
    <w:rsid w:val="00FA5025"/>
    <w:rsid w:val="00FA670E"/>
    <w:rsid w:val="00FA7A72"/>
    <w:rsid w:val="00FB2C8D"/>
    <w:rsid w:val="00FB589A"/>
    <w:rsid w:val="00FB63CD"/>
    <w:rsid w:val="00FB7A01"/>
    <w:rsid w:val="00FB7B94"/>
    <w:rsid w:val="00FC31DD"/>
    <w:rsid w:val="00FC3E28"/>
    <w:rsid w:val="00FC4995"/>
    <w:rsid w:val="00FC66FE"/>
    <w:rsid w:val="00FC6830"/>
    <w:rsid w:val="00FD08C7"/>
    <w:rsid w:val="00FD1935"/>
    <w:rsid w:val="00FD262F"/>
    <w:rsid w:val="00FD2F0A"/>
    <w:rsid w:val="00FD36CD"/>
    <w:rsid w:val="00FD4CBB"/>
    <w:rsid w:val="00FD65E3"/>
    <w:rsid w:val="00FD6CBF"/>
    <w:rsid w:val="00FD7717"/>
    <w:rsid w:val="00FE002D"/>
    <w:rsid w:val="00FE00ED"/>
    <w:rsid w:val="00FE02C8"/>
    <w:rsid w:val="00FE3A8A"/>
    <w:rsid w:val="00FE5E78"/>
    <w:rsid w:val="00FE626C"/>
    <w:rsid w:val="00FE7C97"/>
    <w:rsid w:val="00FF1129"/>
    <w:rsid w:val="00FF339B"/>
    <w:rsid w:val="00FF3C84"/>
    <w:rsid w:val="00FF3CFE"/>
    <w:rsid w:val="00FF4789"/>
    <w:rsid w:val="00FF5CE6"/>
    <w:rsid w:val="00FF63C8"/>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F8C9"/>
  <w15:docId w15:val="{842D6767-469C-4BFB-B9C2-48BD01B0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73FA"/>
  </w:style>
  <w:style w:type="paragraph" w:styleId="1">
    <w:name w:val="heading 1"/>
    <w:basedOn w:val="a0"/>
    <w:next w:val="a0"/>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basedOn w:val="a0"/>
    <w:next w:val="a0"/>
    <w:link w:val="21"/>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0"/>
    <w:link w:val="a5"/>
    <w:uiPriority w:val="34"/>
    <w:qFormat/>
    <w:rsid w:val="009C5E34"/>
    <w:pPr>
      <w:ind w:left="720"/>
      <w:contextualSpacing/>
    </w:pPr>
  </w:style>
  <w:style w:type="paragraph" w:styleId="a6">
    <w:name w:val="Balloon Text"/>
    <w:basedOn w:val="a0"/>
    <w:link w:val="a7"/>
    <w:uiPriority w:val="99"/>
    <w:semiHidden/>
    <w:unhideWhenUsed/>
    <w:rsid w:val="007546C8"/>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546C8"/>
    <w:rPr>
      <w:rFonts w:ascii="Tahoma" w:hAnsi="Tahoma" w:cs="Tahoma"/>
      <w:sz w:val="16"/>
      <w:szCs w:val="16"/>
    </w:rPr>
  </w:style>
  <w:style w:type="paragraph" w:styleId="a8">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0"/>
    <w:link w:val="a9"/>
    <w:uiPriority w:val="99"/>
    <w:unhideWhenUsed/>
    <w:qFormat/>
    <w:rsid w:val="003973D9"/>
    <w:pPr>
      <w:spacing w:after="0" w:line="240" w:lineRule="auto"/>
    </w:pPr>
    <w:rPr>
      <w:sz w:val="20"/>
      <w:szCs w:val="20"/>
    </w:rPr>
  </w:style>
  <w:style w:type="character" w:customStyle="1" w:styleId="a9">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1"/>
    <w:link w:val="a8"/>
    <w:uiPriority w:val="99"/>
    <w:rsid w:val="003973D9"/>
    <w:rPr>
      <w:sz w:val="20"/>
      <w:szCs w:val="20"/>
    </w:rPr>
  </w:style>
  <w:style w:type="character" w:styleId="aa">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1"/>
    <w:uiPriority w:val="99"/>
    <w:unhideWhenUsed/>
    <w:rsid w:val="003973D9"/>
    <w:rPr>
      <w:vertAlign w:val="superscript"/>
    </w:rPr>
  </w:style>
  <w:style w:type="character" w:styleId="ab">
    <w:name w:val="Hyperlink"/>
    <w:basedOn w:val="a1"/>
    <w:uiPriority w:val="99"/>
    <w:unhideWhenUsed/>
    <w:rsid w:val="00620872"/>
    <w:rPr>
      <w:color w:val="0563C1" w:themeColor="hyperlink"/>
      <w:u w:val="single"/>
    </w:rPr>
  </w:style>
  <w:style w:type="paragraph" w:styleId="ac">
    <w:name w:val="Title"/>
    <w:basedOn w:val="a0"/>
    <w:link w:val="ad"/>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1"/>
    <w:link w:val="ac"/>
    <w:uiPriority w:val="99"/>
    <w:rsid w:val="00486FAE"/>
    <w:rPr>
      <w:rFonts w:ascii="Times New Roman" w:eastAsia="Times New Roman" w:hAnsi="Times New Roman" w:cs="Times New Roman"/>
      <w:b/>
      <w:bCs/>
      <w:sz w:val="24"/>
      <w:szCs w:val="24"/>
      <w:lang w:eastAsia="ru-RU"/>
    </w:rPr>
  </w:style>
  <w:style w:type="table" w:styleId="ae">
    <w:name w:val="Table Grid"/>
    <w:basedOn w:val="a2"/>
    <w:uiPriority w:val="39"/>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5">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4"/>
    <w:uiPriority w:val="34"/>
    <w:locked/>
    <w:rsid w:val="009C6B4E"/>
  </w:style>
  <w:style w:type="character" w:customStyle="1" w:styleId="11">
    <w:name w:val="Неразрешенное упоминание1"/>
    <w:basedOn w:val="a1"/>
    <w:uiPriority w:val="99"/>
    <w:semiHidden/>
    <w:unhideWhenUsed/>
    <w:rsid w:val="00B41AD4"/>
    <w:rPr>
      <w:color w:val="605E5C"/>
      <w:shd w:val="clear" w:color="auto" w:fill="E1DFDD"/>
    </w:rPr>
  </w:style>
  <w:style w:type="paragraph" w:styleId="af">
    <w:name w:val="header"/>
    <w:basedOn w:val="a0"/>
    <w:link w:val="af0"/>
    <w:uiPriority w:val="99"/>
    <w:unhideWhenUsed/>
    <w:rsid w:val="008F7CA4"/>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8F7CA4"/>
  </w:style>
  <w:style w:type="paragraph" w:styleId="af1">
    <w:name w:val="footer"/>
    <w:basedOn w:val="a0"/>
    <w:link w:val="af2"/>
    <w:uiPriority w:val="99"/>
    <w:unhideWhenUsed/>
    <w:rsid w:val="008F7CA4"/>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8F7CA4"/>
  </w:style>
  <w:style w:type="character" w:styleId="af3">
    <w:name w:val="annotation reference"/>
    <w:basedOn w:val="a1"/>
    <w:uiPriority w:val="99"/>
    <w:semiHidden/>
    <w:unhideWhenUsed/>
    <w:rsid w:val="00D924CE"/>
    <w:rPr>
      <w:sz w:val="16"/>
      <w:szCs w:val="16"/>
    </w:rPr>
  </w:style>
  <w:style w:type="paragraph" w:styleId="af4">
    <w:name w:val="annotation text"/>
    <w:basedOn w:val="a0"/>
    <w:link w:val="af5"/>
    <w:uiPriority w:val="99"/>
    <w:unhideWhenUsed/>
    <w:rsid w:val="00D924CE"/>
    <w:pPr>
      <w:spacing w:line="240" w:lineRule="auto"/>
    </w:pPr>
    <w:rPr>
      <w:sz w:val="20"/>
      <w:szCs w:val="20"/>
    </w:rPr>
  </w:style>
  <w:style w:type="character" w:customStyle="1" w:styleId="af5">
    <w:name w:val="Текст примечания Знак"/>
    <w:basedOn w:val="a1"/>
    <w:link w:val="af4"/>
    <w:uiPriority w:val="99"/>
    <w:rsid w:val="00D924CE"/>
    <w:rPr>
      <w:sz w:val="20"/>
      <w:szCs w:val="20"/>
    </w:rPr>
  </w:style>
  <w:style w:type="paragraph" w:styleId="af6">
    <w:name w:val="annotation subject"/>
    <w:basedOn w:val="af4"/>
    <w:next w:val="af4"/>
    <w:link w:val="af7"/>
    <w:uiPriority w:val="99"/>
    <w:semiHidden/>
    <w:unhideWhenUsed/>
    <w:rsid w:val="00D924CE"/>
    <w:rPr>
      <w:b/>
      <w:bCs/>
    </w:rPr>
  </w:style>
  <w:style w:type="character" w:customStyle="1" w:styleId="af7">
    <w:name w:val="Тема примечания Знак"/>
    <w:basedOn w:val="af5"/>
    <w:link w:val="af6"/>
    <w:uiPriority w:val="99"/>
    <w:semiHidden/>
    <w:rsid w:val="00D924CE"/>
    <w:rPr>
      <w:b/>
      <w:bCs/>
      <w:sz w:val="20"/>
      <w:szCs w:val="20"/>
    </w:rPr>
  </w:style>
  <w:style w:type="paragraph" w:styleId="af8">
    <w:name w:val="Revision"/>
    <w:hidden/>
    <w:uiPriority w:val="99"/>
    <w:semiHidden/>
    <w:rsid w:val="000D1021"/>
    <w:pPr>
      <w:spacing w:after="0" w:line="240" w:lineRule="auto"/>
    </w:pPr>
  </w:style>
  <w:style w:type="character" w:customStyle="1" w:styleId="22">
    <w:name w:val="Неразрешенное упоминание2"/>
    <w:basedOn w:val="a1"/>
    <w:uiPriority w:val="99"/>
    <w:semiHidden/>
    <w:unhideWhenUsed/>
    <w:rsid w:val="00B64C74"/>
    <w:rPr>
      <w:color w:val="605E5C"/>
      <w:shd w:val="clear" w:color="auto" w:fill="E1DFDD"/>
    </w:rPr>
  </w:style>
  <w:style w:type="character" w:customStyle="1" w:styleId="21">
    <w:name w:val="Заголовок 2 Знак"/>
    <w:basedOn w:val="a1"/>
    <w:link w:val="20"/>
    <w:uiPriority w:val="9"/>
    <w:semiHidden/>
    <w:rsid w:val="00DC6C24"/>
    <w:rPr>
      <w:rFonts w:asciiTheme="majorHAnsi" w:eastAsiaTheme="majorEastAsia" w:hAnsiTheme="majorHAnsi" w:cstheme="majorBidi"/>
      <w:color w:val="2E74B5" w:themeColor="accent1" w:themeShade="BF"/>
      <w:sz w:val="26"/>
      <w:szCs w:val="26"/>
    </w:rPr>
  </w:style>
  <w:style w:type="character" w:styleId="af9">
    <w:name w:val="Placeholder Text"/>
    <w:basedOn w:val="a1"/>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1"/>
    <w:uiPriority w:val="99"/>
    <w:locked/>
    <w:rsid w:val="001C0D5C"/>
    <w:rPr>
      <w:rFonts w:asciiTheme="majorHAnsi" w:eastAsiaTheme="majorEastAsia" w:hAnsiTheme="majorHAnsi" w:cstheme="majorBidi"/>
      <w:caps/>
      <w:color w:val="5B9BD5" w:themeColor="accent1"/>
      <w:spacing w:val="10"/>
      <w:sz w:val="52"/>
      <w:szCs w:val="52"/>
    </w:rPr>
  </w:style>
  <w:style w:type="character" w:styleId="afa">
    <w:name w:val="FollowedHyperlink"/>
    <w:basedOn w:val="a1"/>
    <w:uiPriority w:val="99"/>
    <w:semiHidden/>
    <w:unhideWhenUsed/>
    <w:rsid w:val="00EF0794"/>
    <w:rPr>
      <w:color w:val="954F72" w:themeColor="followedHyperlink"/>
      <w:u w:val="single"/>
    </w:rPr>
  </w:style>
  <w:style w:type="paragraph" w:styleId="afb">
    <w:name w:val="Normal (Web)"/>
    <w:basedOn w:val="a0"/>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 Знак"/>
    <w:basedOn w:val="a1"/>
    <w:link w:val="30"/>
    <w:uiPriority w:val="9"/>
    <w:semiHidden/>
    <w:rsid w:val="00932108"/>
    <w:rPr>
      <w:rFonts w:asciiTheme="majorHAnsi" w:eastAsiaTheme="majorEastAsia" w:hAnsiTheme="majorHAnsi" w:cstheme="majorBidi"/>
      <w:color w:val="1F4D78" w:themeColor="accent1" w:themeShade="7F"/>
      <w:sz w:val="24"/>
      <w:szCs w:val="24"/>
    </w:rPr>
  </w:style>
  <w:style w:type="character" w:styleId="afc">
    <w:name w:val="Emphasis"/>
    <w:basedOn w:val="a1"/>
    <w:uiPriority w:val="20"/>
    <w:qFormat/>
    <w:rsid w:val="00932108"/>
    <w:rPr>
      <w:i/>
      <w:iCs/>
    </w:rPr>
  </w:style>
  <w:style w:type="character" w:customStyle="1" w:styleId="doccaption">
    <w:name w:val="doccaption"/>
    <w:basedOn w:val="a1"/>
    <w:rsid w:val="00231E62"/>
  </w:style>
  <w:style w:type="paragraph" w:styleId="a">
    <w:name w:val="List Bullet"/>
    <w:aliases w:val=" Знак7,Знак7 Знак,Знак7,Маркированный список Знак1 Знак,Маркированный список Знак Знак Знак,Маркированный список Знак1 Знак Знак Знак,Маркированный список Знак Знак Знак Знак Знак, Знак7 Знак Знак Знак Знак Знак, Знак7 Знак Знак, Зн"/>
    <w:basedOn w:val="a0"/>
    <w:link w:val="afd"/>
    <w:uiPriority w:val="4"/>
    <w:rsid w:val="00231E62"/>
    <w:pPr>
      <w:keepLines/>
      <w:numPr>
        <w:numId w:val="2"/>
      </w:numPr>
      <w:spacing w:after="240" w:line="240" w:lineRule="atLeast"/>
      <w:jc w:val="both"/>
    </w:pPr>
    <w:rPr>
      <w:rFonts w:ascii="Tahoma" w:eastAsia="Times New Roman" w:hAnsi="Tahoma" w:cs="Tahoma"/>
      <w:sz w:val="20"/>
      <w:szCs w:val="24"/>
      <w:lang w:eastAsia="ru-RU"/>
    </w:rPr>
  </w:style>
  <w:style w:type="paragraph" w:styleId="2">
    <w:name w:val="List Bullet 2"/>
    <w:aliases w:val=" Знак11,Знак11,Знак11 Знак,Знак111,Маркированный список 23,Знак11 Знак4"/>
    <w:basedOn w:val="a0"/>
    <w:uiPriority w:val="4"/>
    <w:qFormat/>
    <w:rsid w:val="00231E62"/>
    <w:pPr>
      <w:keepLines/>
      <w:numPr>
        <w:ilvl w:val="1"/>
        <w:numId w:val="2"/>
      </w:numPr>
      <w:spacing w:after="240" w:line="240" w:lineRule="atLeast"/>
      <w:jc w:val="both"/>
    </w:pPr>
    <w:rPr>
      <w:rFonts w:ascii="Tahoma" w:eastAsia="Times New Roman" w:hAnsi="Tahoma" w:cs="Tahoma"/>
      <w:sz w:val="20"/>
      <w:szCs w:val="24"/>
      <w:lang w:eastAsia="ru-RU"/>
    </w:rPr>
  </w:style>
  <w:style w:type="paragraph" w:styleId="3">
    <w:name w:val="List Bullet 3"/>
    <w:aliases w:val="List Bullet 3 Char,Char Char,Char"/>
    <w:basedOn w:val="a0"/>
    <w:uiPriority w:val="4"/>
    <w:unhideWhenUsed/>
    <w:rsid w:val="00231E62"/>
    <w:pPr>
      <w:keepLines/>
      <w:numPr>
        <w:ilvl w:val="2"/>
        <w:numId w:val="2"/>
      </w:numPr>
      <w:spacing w:after="240" w:line="240" w:lineRule="atLeast"/>
    </w:pPr>
    <w:rPr>
      <w:rFonts w:ascii="Tahoma" w:eastAsia="Times New Roman" w:hAnsi="Tahoma" w:cs="Tahoma"/>
      <w:sz w:val="20"/>
      <w:szCs w:val="24"/>
      <w:lang w:eastAsia="ru-RU"/>
    </w:rPr>
  </w:style>
  <w:style w:type="paragraph" w:styleId="4">
    <w:name w:val="List Bullet 4"/>
    <w:basedOn w:val="a0"/>
    <w:uiPriority w:val="4"/>
    <w:unhideWhenUsed/>
    <w:rsid w:val="00231E62"/>
    <w:pPr>
      <w:keepLines/>
      <w:numPr>
        <w:ilvl w:val="3"/>
        <w:numId w:val="2"/>
      </w:numPr>
      <w:spacing w:after="240" w:line="240" w:lineRule="atLeast"/>
    </w:pPr>
    <w:rPr>
      <w:rFonts w:ascii="Tahoma" w:eastAsia="Times New Roman" w:hAnsi="Tahoma" w:cs="Tahoma"/>
      <w:sz w:val="20"/>
      <w:szCs w:val="24"/>
      <w:lang w:eastAsia="ru-RU"/>
    </w:rPr>
  </w:style>
  <w:style w:type="paragraph" w:styleId="5">
    <w:name w:val="List Bullet 5"/>
    <w:basedOn w:val="a0"/>
    <w:uiPriority w:val="4"/>
    <w:unhideWhenUsed/>
    <w:rsid w:val="00231E62"/>
    <w:pPr>
      <w:keepLines/>
      <w:numPr>
        <w:ilvl w:val="4"/>
        <w:numId w:val="2"/>
      </w:numPr>
      <w:spacing w:after="240" w:line="240" w:lineRule="atLeast"/>
    </w:pPr>
    <w:rPr>
      <w:rFonts w:ascii="Tahoma" w:eastAsia="Times New Roman" w:hAnsi="Tahoma" w:cs="Tahoma"/>
      <w:sz w:val="20"/>
      <w:szCs w:val="24"/>
      <w:lang w:eastAsia="ru-RU"/>
    </w:rPr>
  </w:style>
  <w:style w:type="character" w:customStyle="1" w:styleId="afd">
    <w:name w:val="Маркированный список Знак"/>
    <w:aliases w:val=" Знак7 Знак,Знак7 Знак Знак,Знак7 Знак1,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Знак Знак Знак, Зн Знак"/>
    <w:basedOn w:val="a1"/>
    <w:link w:val="a"/>
    <w:uiPriority w:val="4"/>
    <w:rsid w:val="00231E62"/>
    <w:rPr>
      <w:rFonts w:ascii="Tahoma" w:eastAsia="Times New Roman" w:hAnsi="Tahoma" w:cs="Tahoma"/>
      <w:sz w:val="20"/>
      <w:szCs w:val="24"/>
      <w:lang w:eastAsia="ru-RU"/>
    </w:rPr>
  </w:style>
  <w:style w:type="paragraph" w:customStyle="1" w:styleId="formattext">
    <w:name w:val="formattext"/>
    <w:basedOn w:val="a0"/>
    <w:rsid w:val="00CC7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1"/>
    <w:uiPriority w:val="22"/>
    <w:qFormat/>
    <w:rsid w:val="00DF7FC9"/>
    <w:rPr>
      <w:b/>
      <w:bCs/>
    </w:rPr>
  </w:style>
  <w:style w:type="character" w:customStyle="1" w:styleId="32">
    <w:name w:val="Неразрешенное упоминание3"/>
    <w:basedOn w:val="a1"/>
    <w:uiPriority w:val="99"/>
    <w:semiHidden/>
    <w:unhideWhenUsed/>
    <w:rsid w:val="005D28E1"/>
    <w:rPr>
      <w:color w:val="605E5C"/>
      <w:shd w:val="clear" w:color="auto" w:fill="E1DFDD"/>
    </w:rPr>
  </w:style>
  <w:style w:type="paragraph" w:customStyle="1" w:styleId="Default">
    <w:name w:val="Default"/>
    <w:rsid w:val="00F148F5"/>
    <w:pPr>
      <w:autoSpaceDE w:val="0"/>
      <w:autoSpaceDN w:val="0"/>
      <w:adjustRightInd w:val="0"/>
      <w:spacing w:after="0" w:line="240" w:lineRule="auto"/>
    </w:pPr>
    <w:rPr>
      <w:rFonts w:ascii="Helvetica" w:hAnsi="Helvetica" w:cs="Helvetica"/>
      <w:color w:val="000000"/>
      <w:sz w:val="24"/>
      <w:szCs w:val="24"/>
    </w:rPr>
  </w:style>
  <w:style w:type="character" w:styleId="aff">
    <w:name w:val="Unresolved Mention"/>
    <w:basedOn w:val="a1"/>
    <w:uiPriority w:val="99"/>
    <w:semiHidden/>
    <w:unhideWhenUsed/>
    <w:rsid w:val="00291B28"/>
    <w:rPr>
      <w:color w:val="605E5C"/>
      <w:shd w:val="clear" w:color="auto" w:fill="E1DFDD"/>
    </w:rPr>
  </w:style>
  <w:style w:type="paragraph" w:customStyle="1" w:styleId="aff0">
    <w:name w:val="Текст_письма"/>
    <w:basedOn w:val="aff1"/>
    <w:uiPriority w:val="2"/>
    <w:rsid w:val="0063227F"/>
    <w:pPr>
      <w:tabs>
        <w:tab w:val="right" w:pos="9356"/>
      </w:tabs>
      <w:spacing w:after="240" w:line="240" w:lineRule="auto"/>
      <w:ind w:left="709"/>
      <w:jc w:val="both"/>
    </w:pPr>
    <w:rPr>
      <w:rFonts w:ascii="Tahoma" w:eastAsia="Times New Roman" w:hAnsi="Tahoma" w:cs="Tahoma"/>
      <w:spacing w:val="-5"/>
      <w:kern w:val="16"/>
      <w:sz w:val="20"/>
      <w:szCs w:val="20"/>
      <w:lang w:eastAsia="ru-RU"/>
    </w:rPr>
  </w:style>
  <w:style w:type="paragraph" w:styleId="aff1">
    <w:name w:val="Body Text"/>
    <w:basedOn w:val="a0"/>
    <w:link w:val="aff2"/>
    <w:uiPriority w:val="99"/>
    <w:semiHidden/>
    <w:unhideWhenUsed/>
    <w:rsid w:val="0063227F"/>
    <w:pPr>
      <w:spacing w:after="120"/>
    </w:pPr>
  </w:style>
  <w:style w:type="character" w:customStyle="1" w:styleId="aff2">
    <w:name w:val="Основной текст Знак"/>
    <w:basedOn w:val="a1"/>
    <w:link w:val="aff1"/>
    <w:uiPriority w:val="99"/>
    <w:semiHidden/>
    <w:rsid w:val="0063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24960159">
      <w:bodyDiv w:val="1"/>
      <w:marLeft w:val="0"/>
      <w:marRight w:val="0"/>
      <w:marTop w:val="0"/>
      <w:marBottom w:val="0"/>
      <w:divBdr>
        <w:top w:val="none" w:sz="0" w:space="0" w:color="auto"/>
        <w:left w:val="none" w:sz="0" w:space="0" w:color="auto"/>
        <w:bottom w:val="none" w:sz="0" w:space="0" w:color="auto"/>
        <w:right w:val="none" w:sz="0" w:space="0" w:color="auto"/>
      </w:divBdr>
    </w:div>
    <w:div w:id="444228249">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6040338">
      <w:bodyDiv w:val="1"/>
      <w:marLeft w:val="0"/>
      <w:marRight w:val="0"/>
      <w:marTop w:val="0"/>
      <w:marBottom w:val="0"/>
      <w:divBdr>
        <w:top w:val="none" w:sz="0" w:space="0" w:color="auto"/>
        <w:left w:val="none" w:sz="0" w:space="0" w:color="auto"/>
        <w:bottom w:val="none" w:sz="0" w:space="0" w:color="auto"/>
        <w:right w:val="none" w:sz="0" w:space="0" w:color="auto"/>
      </w:divBdr>
    </w:div>
    <w:div w:id="624774232">
      <w:bodyDiv w:val="1"/>
      <w:marLeft w:val="0"/>
      <w:marRight w:val="0"/>
      <w:marTop w:val="0"/>
      <w:marBottom w:val="0"/>
      <w:divBdr>
        <w:top w:val="none" w:sz="0" w:space="0" w:color="auto"/>
        <w:left w:val="none" w:sz="0" w:space="0" w:color="auto"/>
        <w:bottom w:val="none" w:sz="0" w:space="0" w:color="auto"/>
        <w:right w:val="none" w:sz="0" w:space="0" w:color="auto"/>
      </w:divBdr>
    </w:div>
    <w:div w:id="713190024">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72847779">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161506063">
      <w:bodyDiv w:val="1"/>
      <w:marLeft w:val="0"/>
      <w:marRight w:val="0"/>
      <w:marTop w:val="0"/>
      <w:marBottom w:val="0"/>
      <w:divBdr>
        <w:top w:val="none" w:sz="0" w:space="0" w:color="auto"/>
        <w:left w:val="none" w:sz="0" w:space="0" w:color="auto"/>
        <w:bottom w:val="none" w:sz="0" w:space="0" w:color="auto"/>
        <w:right w:val="none" w:sz="0" w:space="0" w:color="auto"/>
      </w:divBdr>
    </w:div>
    <w:div w:id="1223099618">
      <w:bodyDiv w:val="1"/>
      <w:marLeft w:val="0"/>
      <w:marRight w:val="0"/>
      <w:marTop w:val="0"/>
      <w:marBottom w:val="0"/>
      <w:divBdr>
        <w:top w:val="none" w:sz="0" w:space="0" w:color="auto"/>
        <w:left w:val="none" w:sz="0" w:space="0" w:color="auto"/>
        <w:bottom w:val="none" w:sz="0" w:space="0" w:color="auto"/>
        <w:right w:val="none" w:sz="0" w:space="0" w:color="auto"/>
      </w:divBdr>
      <w:divsChild>
        <w:div w:id="861167004">
          <w:blockQuote w:val="1"/>
          <w:marLeft w:val="0"/>
          <w:marRight w:val="0"/>
          <w:marTop w:val="0"/>
          <w:marBottom w:val="0"/>
          <w:divBdr>
            <w:top w:val="none" w:sz="0" w:space="0" w:color="auto"/>
            <w:left w:val="none" w:sz="0" w:space="0" w:color="auto"/>
            <w:bottom w:val="none" w:sz="0" w:space="0" w:color="auto"/>
            <w:right w:val="none" w:sz="0" w:space="0" w:color="auto"/>
          </w:divBdr>
          <w:divsChild>
            <w:div w:id="949362098">
              <w:marLeft w:val="0"/>
              <w:marRight w:val="0"/>
              <w:marTop w:val="0"/>
              <w:marBottom w:val="0"/>
              <w:divBdr>
                <w:top w:val="none" w:sz="0" w:space="0" w:color="auto"/>
                <w:left w:val="none" w:sz="0" w:space="0" w:color="auto"/>
                <w:bottom w:val="none" w:sz="0" w:space="0" w:color="auto"/>
                <w:right w:val="none" w:sz="0" w:space="0" w:color="auto"/>
              </w:divBdr>
              <w:divsChild>
                <w:div w:id="696732315">
                  <w:marLeft w:val="0"/>
                  <w:marRight w:val="0"/>
                  <w:marTop w:val="0"/>
                  <w:marBottom w:val="0"/>
                  <w:divBdr>
                    <w:top w:val="none" w:sz="0" w:space="0" w:color="auto"/>
                    <w:left w:val="none" w:sz="0" w:space="0" w:color="auto"/>
                    <w:bottom w:val="none" w:sz="0" w:space="0" w:color="auto"/>
                    <w:right w:val="none" w:sz="0" w:space="0" w:color="auto"/>
                  </w:divBdr>
                  <w:divsChild>
                    <w:div w:id="1931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5895">
      <w:bodyDiv w:val="1"/>
      <w:marLeft w:val="0"/>
      <w:marRight w:val="0"/>
      <w:marTop w:val="0"/>
      <w:marBottom w:val="0"/>
      <w:divBdr>
        <w:top w:val="none" w:sz="0" w:space="0" w:color="auto"/>
        <w:left w:val="none" w:sz="0" w:space="0" w:color="auto"/>
        <w:bottom w:val="none" w:sz="0" w:space="0" w:color="auto"/>
        <w:right w:val="none" w:sz="0" w:space="0" w:color="auto"/>
      </w:divBdr>
    </w:div>
    <w:div w:id="1386107153">
      <w:bodyDiv w:val="1"/>
      <w:marLeft w:val="0"/>
      <w:marRight w:val="0"/>
      <w:marTop w:val="0"/>
      <w:marBottom w:val="0"/>
      <w:divBdr>
        <w:top w:val="none" w:sz="0" w:space="0" w:color="auto"/>
        <w:left w:val="none" w:sz="0" w:space="0" w:color="auto"/>
        <w:bottom w:val="none" w:sz="0" w:space="0" w:color="auto"/>
        <w:right w:val="none" w:sz="0" w:space="0" w:color="auto"/>
      </w:divBdr>
      <w:divsChild>
        <w:div w:id="1646005861">
          <w:blockQuote w:val="1"/>
          <w:marLeft w:val="0"/>
          <w:marRight w:val="0"/>
          <w:marTop w:val="0"/>
          <w:marBottom w:val="0"/>
          <w:divBdr>
            <w:top w:val="none" w:sz="0" w:space="0" w:color="auto"/>
            <w:left w:val="none" w:sz="0" w:space="0" w:color="auto"/>
            <w:bottom w:val="none" w:sz="0" w:space="0" w:color="auto"/>
            <w:right w:val="none" w:sz="0" w:space="0" w:color="auto"/>
          </w:divBdr>
          <w:divsChild>
            <w:div w:id="1976334237">
              <w:marLeft w:val="0"/>
              <w:marRight w:val="0"/>
              <w:marTop w:val="0"/>
              <w:marBottom w:val="0"/>
              <w:divBdr>
                <w:top w:val="none" w:sz="0" w:space="0" w:color="auto"/>
                <w:left w:val="none" w:sz="0" w:space="0" w:color="auto"/>
                <w:bottom w:val="none" w:sz="0" w:space="0" w:color="auto"/>
                <w:right w:val="none" w:sz="0" w:space="0" w:color="auto"/>
              </w:divBdr>
              <w:divsChild>
                <w:div w:id="903878284">
                  <w:marLeft w:val="0"/>
                  <w:marRight w:val="0"/>
                  <w:marTop w:val="0"/>
                  <w:marBottom w:val="0"/>
                  <w:divBdr>
                    <w:top w:val="none" w:sz="0" w:space="0" w:color="auto"/>
                    <w:left w:val="none" w:sz="0" w:space="0" w:color="auto"/>
                    <w:bottom w:val="none" w:sz="0" w:space="0" w:color="auto"/>
                    <w:right w:val="none" w:sz="0" w:space="0" w:color="auto"/>
                  </w:divBdr>
                  <w:divsChild>
                    <w:div w:id="7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4295345">
      <w:bodyDiv w:val="1"/>
      <w:marLeft w:val="0"/>
      <w:marRight w:val="0"/>
      <w:marTop w:val="0"/>
      <w:marBottom w:val="0"/>
      <w:divBdr>
        <w:top w:val="none" w:sz="0" w:space="0" w:color="auto"/>
        <w:left w:val="none" w:sz="0" w:space="0" w:color="auto"/>
        <w:bottom w:val="none" w:sz="0" w:space="0" w:color="auto"/>
        <w:right w:val="none" w:sz="0" w:space="0" w:color="auto"/>
      </w:divBdr>
    </w:div>
    <w:div w:id="1552887342">
      <w:bodyDiv w:val="1"/>
      <w:marLeft w:val="0"/>
      <w:marRight w:val="0"/>
      <w:marTop w:val="0"/>
      <w:marBottom w:val="0"/>
      <w:divBdr>
        <w:top w:val="none" w:sz="0" w:space="0" w:color="auto"/>
        <w:left w:val="none" w:sz="0" w:space="0" w:color="auto"/>
        <w:bottom w:val="none" w:sz="0" w:space="0" w:color="auto"/>
        <w:right w:val="none" w:sz="0" w:space="0" w:color="auto"/>
      </w:divBdr>
      <w:divsChild>
        <w:div w:id="791169909">
          <w:blockQuote w:val="1"/>
          <w:marLeft w:val="0"/>
          <w:marRight w:val="0"/>
          <w:marTop w:val="0"/>
          <w:marBottom w:val="0"/>
          <w:divBdr>
            <w:top w:val="none" w:sz="0" w:space="0" w:color="auto"/>
            <w:left w:val="none" w:sz="0" w:space="0" w:color="auto"/>
            <w:bottom w:val="none" w:sz="0" w:space="0" w:color="auto"/>
            <w:right w:val="none" w:sz="0" w:space="0" w:color="auto"/>
          </w:divBdr>
          <w:divsChild>
            <w:div w:id="1067267854">
              <w:marLeft w:val="0"/>
              <w:marRight w:val="0"/>
              <w:marTop w:val="0"/>
              <w:marBottom w:val="0"/>
              <w:divBdr>
                <w:top w:val="none" w:sz="0" w:space="0" w:color="auto"/>
                <w:left w:val="none" w:sz="0" w:space="0" w:color="auto"/>
                <w:bottom w:val="none" w:sz="0" w:space="0" w:color="auto"/>
                <w:right w:val="none" w:sz="0" w:space="0" w:color="auto"/>
              </w:divBdr>
              <w:divsChild>
                <w:div w:id="1823815258">
                  <w:marLeft w:val="0"/>
                  <w:marRight w:val="0"/>
                  <w:marTop w:val="0"/>
                  <w:marBottom w:val="0"/>
                  <w:divBdr>
                    <w:top w:val="none" w:sz="0" w:space="0" w:color="auto"/>
                    <w:left w:val="none" w:sz="0" w:space="0" w:color="auto"/>
                    <w:bottom w:val="none" w:sz="0" w:space="0" w:color="auto"/>
                    <w:right w:val="none" w:sz="0" w:space="0" w:color="auto"/>
                  </w:divBdr>
                  <w:divsChild>
                    <w:div w:id="20939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946463">
      <w:bodyDiv w:val="1"/>
      <w:marLeft w:val="0"/>
      <w:marRight w:val="0"/>
      <w:marTop w:val="0"/>
      <w:marBottom w:val="0"/>
      <w:divBdr>
        <w:top w:val="none" w:sz="0" w:space="0" w:color="auto"/>
        <w:left w:val="none" w:sz="0" w:space="0" w:color="auto"/>
        <w:bottom w:val="none" w:sz="0" w:space="0" w:color="auto"/>
        <w:right w:val="none" w:sz="0" w:space="0" w:color="auto"/>
      </w:divBdr>
    </w:div>
    <w:div w:id="1644046537">
      <w:bodyDiv w:val="1"/>
      <w:marLeft w:val="0"/>
      <w:marRight w:val="0"/>
      <w:marTop w:val="0"/>
      <w:marBottom w:val="0"/>
      <w:divBdr>
        <w:top w:val="none" w:sz="0" w:space="0" w:color="auto"/>
        <w:left w:val="none" w:sz="0" w:space="0" w:color="auto"/>
        <w:bottom w:val="none" w:sz="0" w:space="0" w:color="auto"/>
        <w:right w:val="none" w:sz="0" w:space="0" w:color="auto"/>
      </w:divBdr>
      <w:divsChild>
        <w:div w:id="1515538254">
          <w:marLeft w:val="0"/>
          <w:marRight w:val="0"/>
          <w:marTop w:val="0"/>
          <w:marBottom w:val="0"/>
          <w:divBdr>
            <w:top w:val="none" w:sz="0" w:space="0" w:color="auto"/>
            <w:left w:val="none" w:sz="0" w:space="0" w:color="auto"/>
            <w:bottom w:val="none" w:sz="0" w:space="0" w:color="auto"/>
            <w:right w:val="none" w:sz="0" w:space="0" w:color="auto"/>
          </w:divBdr>
          <w:divsChild>
            <w:div w:id="1791975263">
              <w:marLeft w:val="0"/>
              <w:marRight w:val="0"/>
              <w:marTop w:val="0"/>
              <w:marBottom w:val="0"/>
              <w:divBdr>
                <w:top w:val="none" w:sz="0" w:space="0" w:color="auto"/>
                <w:left w:val="none" w:sz="0" w:space="0" w:color="auto"/>
                <w:bottom w:val="none" w:sz="0" w:space="0" w:color="auto"/>
                <w:right w:val="none" w:sz="0" w:space="0" w:color="auto"/>
              </w:divBdr>
              <w:divsChild>
                <w:div w:id="20701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5243">
          <w:marLeft w:val="0"/>
          <w:marRight w:val="0"/>
          <w:marTop w:val="0"/>
          <w:marBottom w:val="0"/>
          <w:divBdr>
            <w:top w:val="none" w:sz="0" w:space="0" w:color="auto"/>
            <w:left w:val="none" w:sz="0" w:space="0" w:color="auto"/>
            <w:bottom w:val="none" w:sz="0" w:space="0" w:color="auto"/>
            <w:right w:val="none" w:sz="0" w:space="0" w:color="auto"/>
          </w:divBdr>
          <w:divsChild>
            <w:div w:id="930818043">
              <w:marLeft w:val="0"/>
              <w:marRight w:val="0"/>
              <w:marTop w:val="0"/>
              <w:marBottom w:val="0"/>
              <w:divBdr>
                <w:top w:val="none" w:sz="0" w:space="0" w:color="auto"/>
                <w:left w:val="none" w:sz="0" w:space="0" w:color="auto"/>
                <w:bottom w:val="none" w:sz="0" w:space="0" w:color="auto"/>
                <w:right w:val="none" w:sz="0" w:space="0" w:color="auto"/>
              </w:divBdr>
              <w:divsChild>
                <w:div w:id="494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8788">
      <w:bodyDiv w:val="1"/>
      <w:marLeft w:val="0"/>
      <w:marRight w:val="0"/>
      <w:marTop w:val="0"/>
      <w:marBottom w:val="0"/>
      <w:divBdr>
        <w:top w:val="none" w:sz="0" w:space="0" w:color="auto"/>
        <w:left w:val="none" w:sz="0" w:space="0" w:color="auto"/>
        <w:bottom w:val="none" w:sz="0" w:space="0" w:color="auto"/>
        <w:right w:val="none" w:sz="0" w:space="0" w:color="auto"/>
      </w:divBdr>
    </w:div>
    <w:div w:id="1831673784">
      <w:bodyDiv w:val="1"/>
      <w:marLeft w:val="0"/>
      <w:marRight w:val="0"/>
      <w:marTop w:val="0"/>
      <w:marBottom w:val="0"/>
      <w:divBdr>
        <w:top w:val="none" w:sz="0" w:space="0" w:color="auto"/>
        <w:left w:val="none" w:sz="0" w:space="0" w:color="auto"/>
        <w:bottom w:val="none" w:sz="0" w:space="0" w:color="auto"/>
        <w:right w:val="none" w:sz="0" w:space="0" w:color="auto"/>
      </w:divBdr>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907179715">
      <w:bodyDiv w:val="1"/>
      <w:marLeft w:val="0"/>
      <w:marRight w:val="0"/>
      <w:marTop w:val="0"/>
      <w:marBottom w:val="0"/>
      <w:divBdr>
        <w:top w:val="none" w:sz="0" w:space="0" w:color="auto"/>
        <w:left w:val="none" w:sz="0" w:space="0" w:color="auto"/>
        <w:bottom w:val="none" w:sz="0" w:space="0" w:color="auto"/>
        <w:right w:val="none" w:sz="0" w:space="0" w:color="auto"/>
      </w:divBdr>
    </w:div>
    <w:div w:id="1980842915">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38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24C7-58FE-4E43-924A-E2EA26A8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1269</Words>
  <Characters>7238</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dc:creator>
  <cp:lastModifiedBy>Office</cp:lastModifiedBy>
  <cp:revision>3</cp:revision>
  <cp:lastPrinted>2019-10-21T11:15:00Z</cp:lastPrinted>
  <dcterms:created xsi:type="dcterms:W3CDTF">2026-04-02T07:42:00Z</dcterms:created>
  <dcterms:modified xsi:type="dcterms:W3CDTF">2026-04-02T08:23:00Z</dcterms:modified>
</cp:coreProperties>
</file>