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6BD8" w14:textId="77777777" w:rsidR="00915818" w:rsidRPr="00577354" w:rsidRDefault="00915818" w:rsidP="00915818">
      <w:pPr>
        <w:pStyle w:val="10"/>
        <w:jc w:val="center"/>
        <w:rPr>
          <w:rFonts w:ascii="Times New Roman" w:hAnsi="Times New Roman" w:cs="Times New Roman"/>
          <w:b/>
          <w:bCs/>
          <w:color w:val="auto"/>
          <w:sz w:val="24"/>
          <w:szCs w:val="24"/>
        </w:rPr>
      </w:pPr>
      <w:bookmarkStart w:id="0" w:name="_Toc102674932"/>
      <w:bookmarkStart w:id="1" w:name="_Toc152947326"/>
      <w:r w:rsidRPr="00577354">
        <w:rPr>
          <w:rFonts w:ascii="Times New Roman" w:hAnsi="Times New Roman" w:cs="Times New Roman"/>
          <w:b/>
          <w:bCs/>
          <w:color w:val="auto"/>
          <w:sz w:val="24"/>
          <w:szCs w:val="24"/>
        </w:rPr>
        <w:t>Приложение 1. Учет налогов при определении упущенной выгоды в судебной практике</w:t>
      </w:r>
      <w:bookmarkEnd w:id="1"/>
    </w:p>
    <w:p w14:paraId="07AF3163" w14:textId="77777777" w:rsidR="00915818" w:rsidRPr="00577354" w:rsidRDefault="00915818" w:rsidP="00915818">
      <w:pPr>
        <w:spacing w:before="120" w:after="120" w:line="276" w:lineRule="auto"/>
        <w:rPr>
          <w:rFonts w:ascii="Times New Roman" w:hAnsi="Times New Roman" w:cs="Times New Roman"/>
          <w:sz w:val="24"/>
          <w:szCs w:val="24"/>
        </w:rPr>
      </w:pPr>
      <w:r w:rsidRPr="00577354">
        <w:rPr>
          <w:rFonts w:ascii="Times New Roman" w:hAnsi="Times New Roman" w:cs="Times New Roman"/>
          <w:sz w:val="24"/>
          <w:szCs w:val="24"/>
        </w:rPr>
        <w:t>Таблица 1.1. Учет налога на добавленную стоимость (НДС)</w:t>
      </w:r>
    </w:p>
    <w:tbl>
      <w:tblPr>
        <w:tblStyle w:val="af2"/>
        <w:tblW w:w="0" w:type="auto"/>
        <w:tblLook w:val="04A0" w:firstRow="1" w:lastRow="0" w:firstColumn="1" w:lastColumn="0" w:noHBand="0" w:noVBand="1"/>
      </w:tblPr>
      <w:tblGrid>
        <w:gridCol w:w="4954"/>
        <w:gridCol w:w="4957"/>
      </w:tblGrid>
      <w:tr w:rsidR="00577354" w:rsidRPr="00577354" w14:paraId="57F833E2" w14:textId="77777777" w:rsidTr="000B60F3">
        <w:trPr>
          <w:tblHeader/>
        </w:trPr>
        <w:tc>
          <w:tcPr>
            <w:tcW w:w="5068" w:type="dxa"/>
            <w:shd w:val="clear" w:color="auto" w:fill="D9D9D9" w:themeFill="background1" w:themeFillShade="D9"/>
            <w:vAlign w:val="center"/>
          </w:tcPr>
          <w:p w14:paraId="67065670" w14:textId="77777777" w:rsidR="00915818" w:rsidRPr="00577354" w:rsidRDefault="00915818" w:rsidP="000B60F3">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НДС можно включать</w:t>
            </w:r>
          </w:p>
        </w:tc>
        <w:tc>
          <w:tcPr>
            <w:tcW w:w="5069" w:type="dxa"/>
            <w:shd w:val="clear" w:color="auto" w:fill="D9D9D9" w:themeFill="background1" w:themeFillShade="D9"/>
            <w:vAlign w:val="center"/>
          </w:tcPr>
          <w:p w14:paraId="792EFEB8" w14:textId="77777777" w:rsidR="00915818" w:rsidRPr="00577354" w:rsidRDefault="00915818" w:rsidP="000B60F3">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НДС нельзя включать, если есть право на вычет</w:t>
            </w:r>
          </w:p>
          <w:p w14:paraId="1AEED899" w14:textId="77777777" w:rsidR="00915818" w:rsidRPr="00577354" w:rsidRDefault="00915818" w:rsidP="000B60F3">
            <w:pPr>
              <w:tabs>
                <w:tab w:val="left" w:pos="1276"/>
                <w:tab w:val="left" w:pos="1365"/>
              </w:tabs>
              <w:jc w:val="center"/>
              <w:rPr>
                <w:rFonts w:ascii="Times New Roman" w:hAnsi="Times New Roman" w:cs="Times New Roman"/>
                <w:b/>
                <w:bCs/>
                <w:sz w:val="20"/>
                <w:szCs w:val="20"/>
              </w:rPr>
            </w:pPr>
            <w:r w:rsidRPr="00577354">
              <w:rPr>
                <w:rFonts w:ascii="Times New Roman" w:hAnsi="Times New Roman" w:cs="Times New Roman"/>
                <w:b/>
                <w:bCs/>
                <w:sz w:val="20"/>
                <w:szCs w:val="20"/>
              </w:rPr>
              <w:t>(не доказано его отсутствие)</w:t>
            </w:r>
          </w:p>
        </w:tc>
      </w:tr>
      <w:tr w:rsidR="00577354" w:rsidRPr="00577354" w14:paraId="3716D587" w14:textId="77777777" w:rsidTr="000B60F3">
        <w:tc>
          <w:tcPr>
            <w:tcW w:w="5068" w:type="dxa"/>
          </w:tcPr>
          <w:p w14:paraId="67EB37D2"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Волго-Вятского округа от 03.07.2020 №Ф01-11068/2020 по делу №А43-40224/2018 </w:t>
            </w:r>
          </w:p>
          <w:p w14:paraId="45C96182"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взыскании убытков в связи с утратой груза в процессе перевозки. </w:t>
            </w:r>
          </w:p>
          <w:p w14:paraId="59AE997B"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заказчик указал, что в пункт назначения груз доставлен не был. </w:t>
            </w:r>
          </w:p>
          <w:p w14:paraId="1A42FB0C"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Решение: требование удовлетворено, поскольку контрагенты согласовали маршрут перевозки, номер, тип и марку транспортного средства, кандидатуру водителя, дату подачи транспортного средства под погрузку и под разгрузку, наименование груза и его количество, факт принятия груза к перевозке подтвержден накладной, а факт утраты груза и размер убытков — материалами уголовного дела,</w:t>
            </w:r>
          </w:p>
          <w:p w14:paraId="16A5BC6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«Суд кассационной инстанции отклонил довод заявителя о том, что размер ущерба подлежит взысканию за минусом налога на добавленную стоимость в силу следующего. Действующее </w:t>
            </w:r>
            <w:r w:rsidRPr="00577354">
              <w:rPr>
                <w:rFonts w:ascii="Times New Roman" w:hAnsi="Times New Roman" w:cs="Times New Roman"/>
                <w:sz w:val="20"/>
                <w:szCs w:val="20"/>
                <w:u w:val="single"/>
              </w:rPr>
              <w:t>законодательство не содержит ограничений относительно включения налога на добавленную стоимость в расчет убытков</w:t>
            </w:r>
            <w:r w:rsidRPr="00577354">
              <w:rPr>
                <w:rFonts w:ascii="Times New Roman" w:hAnsi="Times New Roman" w:cs="Times New Roman"/>
                <w:sz w:val="20"/>
                <w:szCs w:val="20"/>
              </w:rPr>
              <w:t xml:space="preserve">, поскольку сумма ущерба, подлежащего взысканию с ответчика, обоснованно рассчитана с учетом данного налога, что </w:t>
            </w:r>
            <w:r w:rsidRPr="00577354">
              <w:rPr>
                <w:rFonts w:ascii="Times New Roman" w:hAnsi="Times New Roman" w:cs="Times New Roman"/>
                <w:sz w:val="20"/>
                <w:szCs w:val="20"/>
                <w:u w:val="single"/>
              </w:rPr>
              <w:t>соответствует действительной стоимости утраченного груза</w:t>
            </w:r>
            <w:r w:rsidRPr="00577354">
              <w:rPr>
                <w:rFonts w:ascii="Times New Roman" w:hAnsi="Times New Roman" w:cs="Times New Roman"/>
                <w:sz w:val="20"/>
                <w:szCs w:val="20"/>
              </w:rPr>
              <w:t>».</w:t>
            </w:r>
          </w:p>
        </w:tc>
        <w:tc>
          <w:tcPr>
            <w:tcW w:w="5069" w:type="dxa"/>
          </w:tcPr>
          <w:p w14:paraId="6F396201"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Определение Судебной коллегии по экономическим спорам Верховного Суда РФ от 13.12.2018 по делу №305-ЭС18-10125, №А40-52603/2017 </w:t>
            </w:r>
          </w:p>
          <w:p w14:paraId="0771AF1C"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взыскании убытков. </w:t>
            </w:r>
          </w:p>
          <w:p w14:paraId="2F578AA2"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Встречное требование: о расторжении договора, взыскании убытков. </w:t>
            </w:r>
          </w:p>
          <w:p w14:paraId="4C6E2AF0"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спор по настоящему делу возник в связи с нарушением ответчиком принятых на себя обязательств по заключенному сторонами договору переработки. </w:t>
            </w:r>
          </w:p>
          <w:p w14:paraId="39721AF8" w14:textId="591D47BE"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Решение: 1) Требование удовлетворено частично, поскольку из суммы убытков подлежит </w:t>
            </w:r>
            <w:r w:rsidRPr="00577354">
              <w:rPr>
                <w:rFonts w:ascii="Times New Roman" w:hAnsi="Times New Roman" w:cs="Times New Roman"/>
                <w:sz w:val="20"/>
                <w:szCs w:val="20"/>
                <w:u w:val="single"/>
              </w:rPr>
              <w:t>исключению сумма НДС,</w:t>
            </w:r>
            <w:r w:rsidRPr="00577354">
              <w:rPr>
                <w:rFonts w:ascii="Times New Roman" w:hAnsi="Times New Roman" w:cs="Times New Roman"/>
                <w:sz w:val="20"/>
                <w:szCs w:val="20"/>
              </w:rPr>
              <w:t xml:space="preserve"> цена мазута, которая не подлежит возмещению, поскольк</w:t>
            </w:r>
            <w:r w:rsidR="009B17D1">
              <w:rPr>
                <w:rFonts w:ascii="Times New Roman" w:hAnsi="Times New Roman" w:cs="Times New Roman"/>
                <w:sz w:val="20"/>
                <w:szCs w:val="20"/>
              </w:rPr>
              <w:t>у</w:t>
            </w:r>
            <w:r w:rsidRPr="00577354">
              <w:rPr>
                <w:rFonts w:ascii="Times New Roman" w:hAnsi="Times New Roman" w:cs="Times New Roman"/>
                <w:sz w:val="20"/>
                <w:szCs w:val="20"/>
              </w:rPr>
              <w:t xml:space="preserve"> данный объем не утрачен.</w:t>
            </w:r>
            <w:r w:rsidRPr="00577354">
              <w:rPr>
                <w:rFonts w:ascii="Times New Roman" w:hAnsi="Times New Roman" w:cs="Times New Roman"/>
                <w:sz w:val="20"/>
                <w:szCs w:val="20"/>
              </w:rPr>
              <w:br/>
              <w:t>2) В удовлетворении встречных требований отказано.</w:t>
            </w:r>
          </w:p>
          <w:p w14:paraId="69817781" w14:textId="77777777" w:rsidR="00915818" w:rsidRPr="00577354" w:rsidRDefault="00915818" w:rsidP="000B60F3">
            <w:pPr>
              <w:jc w:val="both"/>
              <w:rPr>
                <w:rFonts w:ascii="Times New Roman" w:hAnsi="Times New Roman" w:cs="Times New Roman"/>
                <w:sz w:val="20"/>
                <w:szCs w:val="20"/>
              </w:rPr>
            </w:pPr>
            <w:r w:rsidRPr="00577354">
              <w:rPr>
                <w:rFonts w:ascii="Times New Roman" w:hAnsi="Times New Roman" w:cs="Times New Roman"/>
                <w:sz w:val="20"/>
                <w:szCs w:val="20"/>
              </w:rPr>
              <w:t>«В рассматриваемом случае общество «ПКП «Мобойл» обосновывало свои требования о возмещении убытков тем, что в результате действий ответчика истец утратил возможность реализовать нефтепродукты, переработанные из принадлежавших ему нефтепродуктов, то есть по существу требовало возмещения реального ущерба в размере расходов, необходимых для приобретения нефтепродуктов.</w:t>
            </w:r>
          </w:p>
          <w:p w14:paraId="26D280C8" w14:textId="77777777" w:rsidR="00915818" w:rsidRPr="00577354" w:rsidRDefault="00915818" w:rsidP="000B60F3">
            <w:pPr>
              <w:jc w:val="both"/>
              <w:rPr>
                <w:rFonts w:ascii="Times New Roman" w:hAnsi="Times New Roman" w:cs="Times New Roman"/>
                <w:sz w:val="20"/>
                <w:szCs w:val="20"/>
              </w:rPr>
            </w:pPr>
            <w:r w:rsidRPr="00577354">
              <w:rPr>
                <w:rFonts w:ascii="Times New Roman" w:hAnsi="Times New Roman" w:cs="Times New Roman"/>
                <w:sz w:val="20"/>
                <w:szCs w:val="20"/>
              </w:rPr>
              <w:t>Однако, определяя размер убытков исходя из рыночной стоимости нефтепродуктов без исключения из нее суммы НДС, истец не представил доказательств того, что в случае приобретения данных товаров налог</w:t>
            </w:r>
            <w:r w:rsidRPr="00577354">
              <w:rPr>
                <w:rFonts w:ascii="Times New Roman" w:hAnsi="Times New Roman" w:cs="Times New Roman"/>
                <w:sz w:val="20"/>
                <w:szCs w:val="20"/>
              </w:rPr>
              <w:br/>
              <w:t>не подлежал бы вычету, равно как не представил доказательства корректировки ранее принятых</w:t>
            </w:r>
            <w:r w:rsidRPr="00577354">
              <w:rPr>
                <w:rFonts w:ascii="Times New Roman" w:hAnsi="Times New Roman" w:cs="Times New Roman"/>
                <w:sz w:val="20"/>
                <w:szCs w:val="20"/>
              </w:rPr>
              <w:br/>
              <w:t>к вычету сумм налога по сырью и стоимости услуг переработки, относящихся к утраченным продуктам переработки.</w:t>
            </w:r>
          </w:p>
          <w:p w14:paraId="74A3483A" w14:textId="77777777" w:rsidR="00915818" w:rsidRPr="00577354" w:rsidRDefault="00915818" w:rsidP="000B60F3">
            <w:pPr>
              <w:jc w:val="both"/>
              <w:rPr>
                <w:rFonts w:ascii="Times New Roman" w:hAnsi="Times New Roman" w:cs="Times New Roman"/>
                <w:sz w:val="20"/>
                <w:szCs w:val="20"/>
              </w:rPr>
            </w:pPr>
            <w:r w:rsidRPr="00577354">
              <w:rPr>
                <w:rFonts w:ascii="Times New Roman" w:hAnsi="Times New Roman" w:cs="Times New Roman"/>
                <w:sz w:val="20"/>
                <w:szCs w:val="20"/>
              </w:rPr>
              <w:t>В силу изложенного вывод суда кассационной инстанции об отсутствии у суда апелляционной инстанции правовых оснований для исключения НДС из размера взысканных убытков, не может быть признан правильным».</w:t>
            </w:r>
          </w:p>
        </w:tc>
      </w:tr>
      <w:tr w:rsidR="00577354" w:rsidRPr="00577354" w14:paraId="037E3445" w14:textId="77777777" w:rsidTr="000B60F3">
        <w:tc>
          <w:tcPr>
            <w:tcW w:w="5068" w:type="dxa"/>
          </w:tcPr>
          <w:p w14:paraId="020A6AA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Центрального округа от 15.10.2019 №Ф10-4800/2019 по делу №А08-10722/2018 </w:t>
            </w:r>
          </w:p>
          <w:p w14:paraId="64AA042C"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упущенной выгоды.</w:t>
            </w:r>
          </w:p>
          <w:p w14:paraId="696EE9B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Обстоятельства: между сторонами был заключен договор оказания транспортных услуг по доставке кормов. На основании полученных от заказчика суточных заявок перевозчику (истцу) было предоставлено к перевозке груза меньше, чем согласовано сторонами. Истец направил в адрес ответчика претензию с требованием возместить упущенную выгоду. Ответчик отказался возместить убытки в виде упущенной выгоды. </w:t>
            </w:r>
          </w:p>
          <w:p w14:paraId="5F09319A"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Решение: требование удовлетворено, поскольку представленный истцом расчет упущенной выгоды соответствует положениям договора, является арифметически верным, при простое используемых для перевозки транспортных средств расходы топлива и износ транспорта не осуществлялись.</w:t>
            </w:r>
          </w:p>
          <w:p w14:paraId="7EC0C12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«Довод заявителя кассационной жалобы о неправильном определении размера убытков с учетом </w:t>
            </w:r>
            <w:r w:rsidRPr="00577354">
              <w:rPr>
                <w:rFonts w:ascii="Times New Roman" w:hAnsi="Times New Roman" w:cs="Times New Roman"/>
                <w:sz w:val="20"/>
                <w:szCs w:val="20"/>
              </w:rPr>
              <w:lastRenderedPageBreak/>
              <w:t>НДС не принимается, так как действующее законодательство не содержит ограничений относительно включения налога на добавленную стоимость в расчет убытков.</w:t>
            </w:r>
          </w:p>
          <w:p w14:paraId="43BED7B3" w14:textId="64C574A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Кроме того, исходя </w:t>
            </w:r>
            <w:r w:rsidRPr="00577354">
              <w:rPr>
                <w:rFonts w:ascii="Times New Roman" w:hAnsi="Times New Roman" w:cs="Times New Roman"/>
                <w:sz w:val="20"/>
                <w:szCs w:val="20"/>
                <w:u w:val="single"/>
              </w:rPr>
              <w:t>из условий договора,</w:t>
            </w:r>
            <w:r w:rsidRPr="00577354">
              <w:rPr>
                <w:rFonts w:ascii="Times New Roman" w:hAnsi="Times New Roman" w:cs="Times New Roman"/>
                <w:sz w:val="20"/>
                <w:szCs w:val="20"/>
              </w:rPr>
              <w:t xml:space="preserve"> стоимость услуги по перевозке определяется согласно пункту 4.1 договора, исходя из тарифа руб. /</w:t>
            </w:r>
            <w:r w:rsidR="009D5FF2" w:rsidRPr="00577354">
              <w:rPr>
                <w:rFonts w:ascii="Times New Roman" w:hAnsi="Times New Roman" w:cs="Times New Roman"/>
                <w:sz w:val="20"/>
                <w:szCs w:val="20"/>
              </w:rPr>
              <w:t>тонна/км,</w:t>
            </w:r>
            <w:r w:rsidRPr="00577354">
              <w:rPr>
                <w:rFonts w:ascii="Times New Roman" w:hAnsi="Times New Roman" w:cs="Times New Roman"/>
                <w:sz w:val="20"/>
                <w:szCs w:val="20"/>
              </w:rPr>
              <w:t xml:space="preserve"> определяемого в приложении № 4 настоящего договора </w:t>
            </w:r>
            <w:r w:rsidRPr="00577354">
              <w:rPr>
                <w:rFonts w:ascii="Times New Roman" w:hAnsi="Times New Roman" w:cs="Times New Roman"/>
                <w:sz w:val="20"/>
                <w:szCs w:val="20"/>
                <w:u w:val="single"/>
              </w:rPr>
              <w:t>с учетом НДС,</w:t>
            </w:r>
            <w:r w:rsidRPr="00577354">
              <w:rPr>
                <w:rFonts w:ascii="Times New Roman" w:hAnsi="Times New Roman" w:cs="Times New Roman"/>
                <w:sz w:val="20"/>
                <w:szCs w:val="20"/>
              </w:rPr>
              <w:t xml:space="preserve"> то есть при заключении договора стороны включили НДС в стоимость рейса, соответственно размер упущенной выгоды обоснованно рассчитан с учетом НДС. Таким образом, выплата упущенной выгоды в таком размере прямо оговорена сторонами в договоре».</w:t>
            </w:r>
          </w:p>
        </w:tc>
        <w:tc>
          <w:tcPr>
            <w:tcW w:w="5069" w:type="dxa"/>
          </w:tcPr>
          <w:p w14:paraId="0B65C27A"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Постановление Арбитражного суда Западно-Сибирского округа от 08.10.2018 №Ф04-3681/2018</w:t>
            </w:r>
            <w:r w:rsidRPr="00577354">
              <w:rPr>
                <w:rFonts w:ascii="Times New Roman" w:hAnsi="Times New Roman" w:cs="Times New Roman"/>
                <w:sz w:val="20"/>
                <w:szCs w:val="20"/>
              </w:rPr>
              <w:br/>
              <w:t xml:space="preserve">по делу №А75-17651/2017 </w:t>
            </w:r>
          </w:p>
          <w:p w14:paraId="59E26AA1"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убытков (реального ущерба), причиненных ненадлежащим исполнением обязательств по договору на сервисное обслуживание оборудования.</w:t>
            </w:r>
          </w:p>
          <w:p w14:paraId="5E21980D"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Обстоятельства: подготовка оборудования проведена подрядчиком с нарушением требований локальных нормативных документов заказчика, вследствие чего произошел преждевременный отказ оборудования</w:t>
            </w:r>
            <w:r w:rsidRPr="00577354">
              <w:rPr>
                <w:rFonts w:ascii="Times New Roman" w:hAnsi="Times New Roman" w:cs="Times New Roman"/>
                <w:sz w:val="20"/>
                <w:szCs w:val="20"/>
              </w:rPr>
              <w:br/>
              <w:t xml:space="preserve">в скважине. Заказчик указал на возникновение убытков в размере стоимости работ третьего лица по ремонту скважины. </w:t>
            </w:r>
          </w:p>
          <w:p w14:paraId="49D3045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Решение: требование частично удовлетворено, поскольку установлен факт ненадлежащего исполнения подрядчиком договорных обязательств, размер убытков снижен ввиду </w:t>
            </w:r>
            <w:r w:rsidRPr="00577354">
              <w:rPr>
                <w:rFonts w:ascii="Times New Roman" w:hAnsi="Times New Roman" w:cs="Times New Roman"/>
                <w:sz w:val="20"/>
                <w:szCs w:val="20"/>
                <w:u w:val="single"/>
              </w:rPr>
              <w:t>исключения из него суммы включенного в стоимость работ третьего лица НДС</w:t>
            </w:r>
            <w:r w:rsidRPr="00577354">
              <w:rPr>
                <w:rFonts w:ascii="Times New Roman" w:hAnsi="Times New Roman" w:cs="Times New Roman"/>
                <w:sz w:val="20"/>
                <w:szCs w:val="20"/>
              </w:rPr>
              <w:t>.</w:t>
            </w:r>
          </w:p>
          <w:p w14:paraId="3F5A3A5F"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«Учитывая </w:t>
            </w:r>
            <w:r w:rsidRPr="00577354">
              <w:rPr>
                <w:rFonts w:ascii="Times New Roman" w:hAnsi="Times New Roman" w:cs="Times New Roman"/>
                <w:sz w:val="20"/>
                <w:szCs w:val="20"/>
                <w:u w:val="single"/>
              </w:rPr>
              <w:t>недоказанность</w:t>
            </w:r>
            <w:r w:rsidRPr="00577354">
              <w:rPr>
                <w:rFonts w:ascii="Times New Roman" w:hAnsi="Times New Roman" w:cs="Times New Roman"/>
                <w:sz w:val="20"/>
                <w:szCs w:val="20"/>
              </w:rPr>
              <w:t xml:space="preserve"> истцом того обстоятельства, что предъявленные ему суммы налога </w:t>
            </w:r>
            <w:r w:rsidRPr="00577354">
              <w:rPr>
                <w:rFonts w:ascii="Times New Roman" w:hAnsi="Times New Roman" w:cs="Times New Roman"/>
                <w:sz w:val="20"/>
                <w:szCs w:val="20"/>
                <w:u w:val="single"/>
              </w:rPr>
              <w:lastRenderedPageBreak/>
              <w:t>не были и не могут быть приняты к вычету</w:t>
            </w:r>
            <w:r w:rsidRPr="00577354">
              <w:rPr>
                <w:rFonts w:ascii="Times New Roman" w:hAnsi="Times New Roman" w:cs="Times New Roman"/>
                <w:sz w:val="20"/>
                <w:szCs w:val="20"/>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неосновательному обогащению налогоплательщика посредством получения сумм, уплаченных в качестве налога на добавленную стоимость, </w:t>
            </w:r>
            <w:r w:rsidRPr="00577354">
              <w:rPr>
                <w:rFonts w:ascii="Times New Roman" w:hAnsi="Times New Roman" w:cs="Times New Roman"/>
                <w:sz w:val="20"/>
                <w:szCs w:val="20"/>
                <w:u w:val="single"/>
              </w:rPr>
              <w:t>дважды –</w:t>
            </w:r>
            <w:r w:rsidRPr="00577354">
              <w:rPr>
                <w:rFonts w:ascii="Times New Roman" w:hAnsi="Times New Roman" w:cs="Times New Roman"/>
                <w:sz w:val="20"/>
                <w:szCs w:val="20"/>
                <w:u w:val="single"/>
              </w:rPr>
              <w:br/>
              <w:t>из бюджета и от своего контрагента</w:t>
            </w:r>
            <w:r w:rsidRPr="00577354">
              <w:rPr>
                <w:rFonts w:ascii="Times New Roman" w:hAnsi="Times New Roman" w:cs="Times New Roman"/>
                <w:sz w:val="20"/>
                <w:szCs w:val="20"/>
              </w:rPr>
              <w:t>, без какого-либо встречного предоставления».</w:t>
            </w:r>
          </w:p>
        </w:tc>
      </w:tr>
      <w:tr w:rsidR="00577354" w:rsidRPr="00577354" w14:paraId="030D95C5" w14:textId="77777777" w:rsidTr="000B60F3">
        <w:tc>
          <w:tcPr>
            <w:tcW w:w="5068" w:type="dxa"/>
          </w:tcPr>
          <w:p w14:paraId="1BA7E1CF"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В деле №А-79/4457-2015 суд отправил экспертное заключение по оценке упущенной выгоды на дополнительную экспертизу, уточнив первоначальный вопрос условием «с учетом расходов на уплату налогов и иных обязательных платежей, исходя из общей суммы налогообложения...». Эксперт подготовил несколько ответов, где была просчитана упущенная выгода с учетом налога на имущество, на прибыль и НДС вместе, без них или попарно. Суд присудил сумму, включающую уплату НДС и налога на имущество, но без налога на прибыль.</w:t>
            </w:r>
          </w:p>
        </w:tc>
        <w:tc>
          <w:tcPr>
            <w:tcW w:w="5069" w:type="dxa"/>
          </w:tcPr>
          <w:p w14:paraId="128E722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Северо-Западного округа от 13.06.2018 №Ф07-6378/2018 по делу №А56-58237/2017 </w:t>
            </w:r>
          </w:p>
          <w:p w14:paraId="7DBE259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возмещении убытков, понесенных</w:t>
            </w:r>
            <w:r w:rsidRPr="00577354">
              <w:rPr>
                <w:rFonts w:ascii="Times New Roman" w:hAnsi="Times New Roman" w:cs="Times New Roman"/>
                <w:sz w:val="20"/>
                <w:szCs w:val="20"/>
              </w:rPr>
              <w:br/>
              <w:t xml:space="preserve">в результате ненадлежащего исполнения обязательств по договору на оказание услуг по перевозке грузов автомобильным транспортом. </w:t>
            </w:r>
          </w:p>
          <w:p w14:paraId="02B539D9" w14:textId="77777777" w:rsidR="00915818" w:rsidRPr="00577354" w:rsidRDefault="00915818" w:rsidP="000B60F3">
            <w:pPr>
              <w:tabs>
                <w:tab w:val="left" w:pos="1276"/>
                <w:tab w:val="left" w:pos="1365"/>
              </w:tabs>
              <w:jc w:val="both"/>
              <w:rPr>
                <w:rFonts w:ascii="Times New Roman" w:hAnsi="Times New Roman" w:cs="Times New Roman"/>
                <w:sz w:val="20"/>
                <w:szCs w:val="20"/>
                <w:u w:val="single"/>
              </w:rPr>
            </w:pPr>
            <w:r w:rsidRPr="00577354">
              <w:rPr>
                <w:rFonts w:ascii="Times New Roman" w:hAnsi="Times New Roman" w:cs="Times New Roman"/>
                <w:sz w:val="20"/>
                <w:szCs w:val="20"/>
              </w:rPr>
              <w:t xml:space="preserve">Обстоятельства: экспедитор ссылается на выплату заказчику стоимости утраченного и поврежденного товара, перевозку которого осуществлял перевозчик. Решение: требование удовлетворено частично, поскольку в сумму убытков </w:t>
            </w:r>
            <w:r w:rsidRPr="00577354">
              <w:rPr>
                <w:rFonts w:ascii="Times New Roman" w:hAnsi="Times New Roman" w:cs="Times New Roman"/>
                <w:sz w:val="20"/>
                <w:szCs w:val="20"/>
                <w:u w:val="single"/>
              </w:rPr>
              <w:t>необоснованно включен НДС.</w:t>
            </w:r>
          </w:p>
          <w:p w14:paraId="7D78F69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«В то же время кассационная инстанция считает необоснованным включение истцом в сумму убытков НДС.</w:t>
            </w:r>
          </w:p>
          <w:p w14:paraId="24993157"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 силу пункта 1 статьи 171 Налогового кодекса Российской Федерации (далее – НК РФ) налогоплательщик </w:t>
            </w:r>
            <w:r w:rsidRPr="00577354">
              <w:rPr>
                <w:rFonts w:ascii="Times New Roman" w:hAnsi="Times New Roman" w:cs="Times New Roman"/>
                <w:sz w:val="20"/>
                <w:szCs w:val="20"/>
                <w:u w:val="single"/>
              </w:rPr>
              <w:t>имеет право уменьшить общую сумму налога</w:t>
            </w:r>
            <w:r w:rsidRPr="00577354">
              <w:rPr>
                <w:rFonts w:ascii="Times New Roman" w:hAnsi="Times New Roman" w:cs="Times New Roman"/>
                <w:sz w:val="20"/>
                <w:szCs w:val="20"/>
              </w:rPr>
              <w:t>, исчисленную в соответствии со статьей 166 указанного Кодекса, на установленные статьей 171 НК РФ налоговые вычеты.</w:t>
            </w:r>
          </w:p>
          <w:p w14:paraId="2406946C"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Согласно подпункту 1 пункта 2 статьи 171 НК РФ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ее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 в отношении товаров (работ, услуг),</w:t>
            </w:r>
            <w:r w:rsidRPr="00577354">
              <w:rPr>
                <w:rFonts w:ascii="Times New Roman" w:hAnsi="Times New Roman" w:cs="Times New Roman"/>
                <w:sz w:val="20"/>
                <w:szCs w:val="20"/>
              </w:rPr>
              <w:br/>
              <w:t>а также имущественных прав, приобретаемых для осуществления операций, признаваемых объектами налогообложения в соответствии с главой 21 НК РФ,</w:t>
            </w:r>
            <w:r w:rsidRPr="00577354">
              <w:rPr>
                <w:rFonts w:ascii="Times New Roman" w:hAnsi="Times New Roman" w:cs="Times New Roman"/>
                <w:sz w:val="20"/>
                <w:szCs w:val="20"/>
              </w:rPr>
              <w:br/>
              <w:t>за исключением товаров, предусмотренных пунктом 2 статьи 170 НК РФ.</w:t>
            </w:r>
          </w:p>
          <w:p w14:paraId="2B78C775"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Механизм вычетов в налоговом праве способствует соблюдению баланса частных и публичных интересов в сфере налогообложения и обеспечения экономической обоснованности принимаемых к вычету сумм налога, обеспечивая условия для движения эквивалентных</w:t>
            </w:r>
            <w:r w:rsidRPr="00577354">
              <w:rPr>
                <w:rFonts w:ascii="Times New Roman" w:hAnsi="Times New Roman" w:cs="Times New Roman"/>
                <w:sz w:val="20"/>
                <w:szCs w:val="20"/>
              </w:rPr>
              <w:br/>
              <w:t xml:space="preserve">по стоимости, хотя различных по направлению потоков </w:t>
            </w:r>
            <w:r w:rsidRPr="00577354">
              <w:rPr>
                <w:rFonts w:ascii="Times New Roman" w:hAnsi="Times New Roman" w:cs="Times New Roman"/>
                <w:sz w:val="20"/>
                <w:szCs w:val="20"/>
              </w:rPr>
              <w:lastRenderedPageBreak/>
              <w:t>денежных средств, одного — от налогоплательщика</w:t>
            </w:r>
            <w:r w:rsidRPr="00577354">
              <w:rPr>
                <w:rFonts w:ascii="Times New Roman" w:hAnsi="Times New Roman" w:cs="Times New Roman"/>
                <w:sz w:val="20"/>
                <w:szCs w:val="20"/>
              </w:rPr>
              <w:br/>
              <w:t>к поставщику в виде фактически уплаченных сумм налога, а другого — к налогоплательщику из бюджета</w:t>
            </w:r>
            <w:r w:rsidRPr="00577354">
              <w:rPr>
                <w:rFonts w:ascii="Times New Roman" w:hAnsi="Times New Roman" w:cs="Times New Roman"/>
                <w:sz w:val="20"/>
                <w:szCs w:val="20"/>
              </w:rPr>
              <w:br/>
              <w:t>в виде предоставленного законом налогового вычета, приводящего к уменьшению итоговой суммы налога, подлежащей уплате в бюджет, либо возмещению суммы налога из бюджета (определение Конституционного Суда Российской Федерации</w:t>
            </w:r>
            <w:r w:rsidRPr="00577354">
              <w:rPr>
                <w:rFonts w:ascii="Times New Roman" w:hAnsi="Times New Roman" w:cs="Times New Roman"/>
                <w:sz w:val="20"/>
                <w:szCs w:val="20"/>
              </w:rPr>
              <w:br/>
              <w:t>от 08.04.2004 №169-О).</w:t>
            </w:r>
          </w:p>
          <w:p w14:paraId="53888D4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Следовательно, </w:t>
            </w:r>
            <w:r w:rsidRPr="00577354">
              <w:rPr>
                <w:rFonts w:ascii="Times New Roman" w:hAnsi="Times New Roman" w:cs="Times New Roman"/>
                <w:sz w:val="20"/>
                <w:szCs w:val="20"/>
                <w:u w:val="single"/>
              </w:rPr>
              <w:t>наличие права на вычет сумм налога исключает уменьшение имущественной сферы</w:t>
            </w:r>
            <w:r w:rsidRPr="00577354">
              <w:rPr>
                <w:rFonts w:ascii="Times New Roman" w:hAnsi="Times New Roman" w:cs="Times New Roman"/>
                <w:sz w:val="20"/>
                <w:szCs w:val="20"/>
              </w:rPr>
              <w:t xml:space="preserve"> лица</w:t>
            </w:r>
            <w:r w:rsidRPr="00577354">
              <w:rPr>
                <w:rFonts w:ascii="Times New Roman" w:hAnsi="Times New Roman" w:cs="Times New Roman"/>
                <w:sz w:val="20"/>
                <w:szCs w:val="20"/>
              </w:rPr>
              <w:br/>
              <w:t>и, соответственно, применение статьи 15 ГК РФ.</w:t>
            </w:r>
          </w:p>
          <w:p w14:paraId="38A091FE"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Таким образом, условия и договора и требования истца противоречат нормам законодательства, а также правовой позиции, приведенной в постановлении Президиума Высшего Арбитражного Суда Российской Федерации от 23.07.2013 №2852/13, согласно которой </w:t>
            </w:r>
            <w:r w:rsidRPr="00577354">
              <w:rPr>
                <w:rFonts w:ascii="Times New Roman" w:hAnsi="Times New Roman" w:cs="Times New Roman"/>
                <w:sz w:val="20"/>
                <w:szCs w:val="20"/>
                <w:u w:val="single"/>
              </w:rPr>
              <w:t>не могут быть включены в состав убытков расходы, хотя и понесенные потерпевшим в результате правонарушения, но компенсируемые ему в полном объеме за счет иных источников</w:t>
            </w:r>
            <w:r w:rsidRPr="00577354">
              <w:rPr>
                <w:rFonts w:ascii="Times New Roman" w:hAnsi="Times New Roman" w:cs="Times New Roman"/>
                <w:sz w:val="20"/>
                <w:szCs w:val="20"/>
              </w:rPr>
              <w:t>. В противном случае создавались бы основания для неоднократного получения потерпевшим одних и тех же сумм возмещения и, соответственно, извлечения им имущественной выгоды, что противоречит целям института возмещения вреда».</w:t>
            </w:r>
          </w:p>
        </w:tc>
      </w:tr>
      <w:tr w:rsidR="00577354" w:rsidRPr="00577354" w14:paraId="2AF7A374" w14:textId="77777777" w:rsidTr="000B60F3">
        <w:tc>
          <w:tcPr>
            <w:tcW w:w="5068" w:type="dxa"/>
          </w:tcPr>
          <w:p w14:paraId="3B374789"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«Довод заявителя кассационной жалобы о неправильном определении размера убытков с учетом налога на добавленную стоимость не принимается, так как действующее законодательство не содержит ограничений относительно включения налога на добавленную стоимость в расчет убытков. Кроме того, стороны согласовали в договоре оценочную стоимость передаваемого на хранение имущества с включением НДС, оговорив обязанность хранителя возместить нанесенный ущерб в полном объеме в соответствии с оценочной стоимостью. Таким образом, выплата компенсации в таком размере прямо оговорена контрагентами» (Постановление Арбитражного суда Восточно-Сибирского округа от 29.09.2016 по делу 3А19-19074/2015).</w:t>
            </w:r>
          </w:p>
        </w:tc>
        <w:tc>
          <w:tcPr>
            <w:tcW w:w="5069" w:type="dxa"/>
          </w:tcPr>
          <w:p w14:paraId="52C0299D"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02.03.2021 № Ф09-550/21 по делу №А76-14955/2020</w:t>
            </w:r>
          </w:p>
          <w:p w14:paraId="31094A85"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Требование: о взыскании убытков, причиненных разукомплектованием стояночных тормозов вагонов.</w:t>
            </w:r>
          </w:p>
          <w:p w14:paraId="4C7CAC07"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Обстоятельства: владелец вагонов указал, что</w:t>
            </w:r>
            <w:r w:rsidRPr="00577354">
              <w:rPr>
                <w:rFonts w:ascii="Times New Roman" w:hAnsi="Times New Roman" w:cs="Times New Roman"/>
                <w:sz w:val="20"/>
                <w:szCs w:val="20"/>
              </w:rPr>
              <w:br/>
              <w:t>на станции прибытия обнаружено разукомплектование вагонов, перевозчик отказался возмещать убытки. Решение: требование удовлетворено частично, так как в процессе перевозки перевозчик допустил разукомплектование вагонов, чем причинил владельцу убытки, обязан возместить их, факт утраты перевозчиком механизмов стояночных тормозов</w:t>
            </w:r>
            <w:r w:rsidRPr="00577354">
              <w:rPr>
                <w:rFonts w:ascii="Times New Roman" w:hAnsi="Times New Roman" w:cs="Times New Roman"/>
                <w:sz w:val="20"/>
                <w:szCs w:val="20"/>
              </w:rPr>
              <w:br/>
              <w:t xml:space="preserve">на вагонах отражен в актах общей формы, размер убытков верно рассчитан исходя из стоимости изготовления и установки тормозов, при этом включение НДС в состав убытков </w:t>
            </w:r>
            <w:r w:rsidRPr="00577354">
              <w:rPr>
                <w:rFonts w:ascii="Times New Roman" w:hAnsi="Times New Roman" w:cs="Times New Roman"/>
                <w:sz w:val="20"/>
                <w:szCs w:val="20"/>
                <w:u w:val="single"/>
              </w:rPr>
              <w:t>не обосновано</w:t>
            </w:r>
            <w:r w:rsidRPr="00577354">
              <w:rPr>
                <w:rFonts w:ascii="Times New Roman" w:hAnsi="Times New Roman" w:cs="Times New Roman"/>
                <w:sz w:val="20"/>
                <w:szCs w:val="20"/>
              </w:rPr>
              <w:t>,</w:t>
            </w:r>
            <w:r w:rsidRPr="00577354">
              <w:rPr>
                <w:rFonts w:ascii="Times New Roman" w:hAnsi="Times New Roman" w:cs="Times New Roman"/>
                <w:sz w:val="20"/>
                <w:szCs w:val="20"/>
              </w:rPr>
              <w:br/>
              <w:t xml:space="preserve">не доказано, что </w:t>
            </w:r>
            <w:r w:rsidRPr="00577354">
              <w:rPr>
                <w:rFonts w:ascii="Times New Roman" w:hAnsi="Times New Roman" w:cs="Times New Roman"/>
                <w:sz w:val="20"/>
                <w:szCs w:val="20"/>
                <w:u w:val="single"/>
              </w:rPr>
              <w:t>предъявленные суммы налога не были и не могут быть приняты к вычету</w:t>
            </w:r>
            <w:r w:rsidRPr="00577354">
              <w:rPr>
                <w:rFonts w:ascii="Times New Roman" w:hAnsi="Times New Roman" w:cs="Times New Roman"/>
                <w:sz w:val="20"/>
                <w:szCs w:val="20"/>
              </w:rPr>
              <w:t>.</w:t>
            </w:r>
          </w:p>
          <w:p w14:paraId="65E06EF8" w14:textId="77777777" w:rsidR="00915818" w:rsidRPr="00577354" w:rsidRDefault="00915818" w:rsidP="000B60F3">
            <w:pPr>
              <w:pStyle w:val="a7"/>
              <w:jc w:val="both"/>
              <w:rPr>
                <w:rFonts w:ascii="Times New Roman" w:hAnsi="Times New Roman" w:cs="Times New Roman"/>
              </w:rPr>
            </w:pPr>
            <w:r w:rsidRPr="00577354">
              <w:rPr>
                <w:rFonts w:ascii="Times New Roman" w:hAnsi="Times New Roman" w:cs="Times New Roman"/>
              </w:rPr>
              <w:t xml:space="preserve">«Как указал суд апелляционной инстанции, учитывая </w:t>
            </w:r>
            <w:r w:rsidRPr="00577354">
              <w:rPr>
                <w:rFonts w:ascii="Times New Roman" w:hAnsi="Times New Roman" w:cs="Times New Roman"/>
                <w:u w:val="single"/>
              </w:rPr>
              <w:t>недоказанность истцом</w:t>
            </w:r>
            <w:r w:rsidRPr="00577354">
              <w:rPr>
                <w:rFonts w:ascii="Times New Roman" w:hAnsi="Times New Roman" w:cs="Times New Roman"/>
              </w:rPr>
              <w:t xml:space="preserve"> того обстоятельства,</w:t>
            </w:r>
            <w:r w:rsidRPr="00577354">
              <w:rPr>
                <w:rFonts w:ascii="Times New Roman" w:hAnsi="Times New Roman" w:cs="Times New Roman"/>
              </w:rPr>
              <w:br/>
              <w:t xml:space="preserve">что предъявленные ему суммы налога </w:t>
            </w:r>
            <w:r w:rsidRPr="00577354">
              <w:rPr>
                <w:rFonts w:ascii="Times New Roman" w:hAnsi="Times New Roman" w:cs="Times New Roman"/>
                <w:u w:val="single"/>
              </w:rPr>
              <w:t>не были</w:t>
            </w:r>
            <w:r w:rsidRPr="00577354">
              <w:rPr>
                <w:rFonts w:ascii="Times New Roman" w:hAnsi="Times New Roman" w:cs="Times New Roman"/>
                <w:u w:val="single"/>
              </w:rPr>
              <w:br/>
              <w:t>и не могут быть приняты к вычету</w:t>
            </w:r>
            <w:r w:rsidRPr="00577354">
              <w:rPr>
                <w:rFonts w:ascii="Times New Roman" w:hAnsi="Times New Roman" w:cs="Times New Roman"/>
              </w:rPr>
              <w:t xml:space="preserve">, иное толкование норм налогового и гражданского законодательства может привести к нарушению баланса прав участников рассматриваемых отношений, </w:t>
            </w:r>
            <w:r w:rsidRPr="00577354">
              <w:rPr>
                <w:rFonts w:ascii="Times New Roman" w:hAnsi="Times New Roman" w:cs="Times New Roman"/>
                <w:u w:val="single"/>
              </w:rPr>
              <w:t>неосновательному обогащению налогоплательщика посредством получения сумм, уплаченных в качестве налога</w:t>
            </w:r>
            <w:r w:rsidRPr="00577354">
              <w:rPr>
                <w:rFonts w:ascii="Times New Roman" w:hAnsi="Times New Roman" w:cs="Times New Roman"/>
                <w:u w:val="single"/>
              </w:rPr>
              <w:br/>
              <w:t>на добавленную стоимость, дважды — из бюджета</w:t>
            </w:r>
            <w:r w:rsidRPr="00577354">
              <w:rPr>
                <w:rFonts w:ascii="Times New Roman" w:hAnsi="Times New Roman" w:cs="Times New Roman"/>
                <w:u w:val="single"/>
              </w:rPr>
              <w:br/>
              <w:t>и от своего контрагента</w:t>
            </w:r>
            <w:r w:rsidRPr="00577354">
              <w:rPr>
                <w:rFonts w:ascii="Times New Roman" w:hAnsi="Times New Roman" w:cs="Times New Roman"/>
              </w:rPr>
              <w:t>, без какого-либо встречного предоставления.</w:t>
            </w:r>
          </w:p>
          <w:p w14:paraId="6E0E058B" w14:textId="77777777" w:rsidR="00915818" w:rsidRPr="00577354" w:rsidRDefault="00915818" w:rsidP="000B60F3">
            <w:pPr>
              <w:pStyle w:val="a7"/>
              <w:jc w:val="both"/>
              <w:rPr>
                <w:rFonts w:ascii="Times New Roman" w:hAnsi="Times New Roman" w:cs="Times New Roman"/>
              </w:rPr>
            </w:pPr>
            <w:r w:rsidRPr="00577354">
              <w:rPr>
                <w:rFonts w:ascii="Times New Roman" w:hAnsi="Times New Roman" w:cs="Times New Roman"/>
              </w:rPr>
              <w:t>Выводы суда апелляционной инстанции соответствуют правовой позиции, изложенной в постановлении Президиума Высшего Арбитражного Суда Российской Федерации от 23.07.2013 №2852/13, а также</w:t>
            </w:r>
            <w:r w:rsidRPr="00577354">
              <w:rPr>
                <w:rFonts w:ascii="Times New Roman" w:hAnsi="Times New Roman" w:cs="Times New Roman"/>
              </w:rPr>
              <w:br/>
            </w:r>
            <w:r w:rsidRPr="00577354">
              <w:rPr>
                <w:rFonts w:ascii="Times New Roman" w:hAnsi="Times New Roman" w:cs="Times New Roman"/>
              </w:rPr>
              <w:lastRenderedPageBreak/>
              <w:t>в определении Верховного Суда Российской Федерации от 13.12.2018 №305-ЭС18-10125».</w:t>
            </w:r>
          </w:p>
        </w:tc>
      </w:tr>
      <w:tr w:rsidR="00577354" w:rsidRPr="00577354" w14:paraId="2A9A6513" w14:textId="77777777" w:rsidTr="000B60F3">
        <w:tc>
          <w:tcPr>
            <w:tcW w:w="5068" w:type="dxa"/>
          </w:tcPr>
          <w:p w14:paraId="794659A7" w14:textId="04225AEC"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lastRenderedPageBreak/>
              <w:t>Постановление ФАС Уральского округа от 21.07.2009 № Ф09-5054/09-С4</w:t>
            </w:r>
            <w:r w:rsidR="00E32577">
              <w:rPr>
                <w:rFonts w:ascii="Times New Roman" w:hAnsi="Times New Roman" w:cs="Times New Roman"/>
                <w:sz w:val="20"/>
                <w:szCs w:val="20"/>
              </w:rPr>
              <w:t>.</w:t>
            </w:r>
          </w:p>
          <w:p w14:paraId="1AEA4492"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Судом установлено и материалами дела подтверждено, что истцом понесены затраты на осуществление капитального ремонта арендованного помещения</w:t>
            </w:r>
            <w:r w:rsidRPr="00577354">
              <w:rPr>
                <w:rFonts w:ascii="Times New Roman" w:hAnsi="Times New Roman" w:cs="Times New Roman"/>
                <w:sz w:val="20"/>
                <w:szCs w:val="20"/>
              </w:rPr>
              <w:br/>
              <w:t>в размере 507 626 руб. 68 коп., в том числе налог</w:t>
            </w:r>
            <w:r w:rsidRPr="00577354">
              <w:rPr>
                <w:rFonts w:ascii="Times New Roman" w:hAnsi="Times New Roman" w:cs="Times New Roman"/>
                <w:sz w:val="20"/>
                <w:szCs w:val="20"/>
              </w:rPr>
              <w:br/>
              <w:t>на добавленную стоимость в сумме 77 434 руб. 59 коп.</w:t>
            </w:r>
          </w:p>
          <w:p w14:paraId="285553E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Судом апелляционной инстанции правильно принято во внимание, что в спорный период истец применял общую систему налогообложения и являлся плательщиком налога на добавленную стоимость, следовательно, в силу ст. 171, 172 Налогового кодекса Российской Федерации он имел право на получение налогового вычета по уплаченному налогу</w:t>
            </w:r>
            <w:r w:rsidRPr="00577354">
              <w:rPr>
                <w:rFonts w:ascii="Times New Roman" w:hAnsi="Times New Roman" w:cs="Times New Roman"/>
                <w:sz w:val="20"/>
                <w:szCs w:val="20"/>
              </w:rPr>
              <w:br/>
              <w:t>на добавленную стоимость в сумме 77 434 руб. 59 коп.</w:t>
            </w:r>
          </w:p>
          <w:p w14:paraId="6C80ADF7"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При таких обстоятельствах выводы суда апелляционной инстанции о том, что у истца по вине ответчика не возникло и не возникнет в будущем убытков в сумме 77 434 руб. 59 коп., следовательно, требования Любкина Л.Д. в этой части являются необоснованными и удовлетворению не подлежат, являются правильными.</w:t>
            </w:r>
          </w:p>
        </w:tc>
        <w:tc>
          <w:tcPr>
            <w:tcW w:w="5069" w:type="dxa"/>
          </w:tcPr>
          <w:p w14:paraId="1F9ECFE6" w14:textId="77777777" w:rsidR="00915818" w:rsidRPr="00577354" w:rsidRDefault="00915818" w:rsidP="000B60F3">
            <w:pPr>
              <w:tabs>
                <w:tab w:val="left" w:pos="1276"/>
                <w:tab w:val="left" w:pos="1365"/>
              </w:tabs>
              <w:jc w:val="both"/>
              <w:rPr>
                <w:rFonts w:ascii="Times New Roman" w:hAnsi="Times New Roman" w:cs="Times New Roman"/>
                <w:sz w:val="20"/>
                <w:szCs w:val="20"/>
              </w:rPr>
            </w:pPr>
          </w:p>
        </w:tc>
      </w:tr>
    </w:tbl>
    <w:p w14:paraId="00245E6D" w14:textId="77777777" w:rsidR="00915818" w:rsidRPr="00577354" w:rsidRDefault="00915818" w:rsidP="00915818">
      <w:pPr>
        <w:spacing w:after="200" w:line="276" w:lineRule="auto"/>
        <w:jc w:val="right"/>
        <w:rPr>
          <w:rFonts w:ascii="Times New Roman" w:hAnsi="Times New Roman" w:cs="Times New Roman"/>
          <w:sz w:val="24"/>
          <w:szCs w:val="24"/>
        </w:rPr>
      </w:pPr>
    </w:p>
    <w:p w14:paraId="0E472AE1" w14:textId="77777777" w:rsidR="00915818" w:rsidRPr="00577354" w:rsidRDefault="00915818" w:rsidP="00915818">
      <w:pPr>
        <w:spacing w:before="120" w:after="120" w:line="276" w:lineRule="auto"/>
        <w:rPr>
          <w:rFonts w:ascii="Times New Roman" w:hAnsi="Times New Roman" w:cs="Times New Roman"/>
          <w:b/>
          <w:bCs/>
          <w:sz w:val="24"/>
          <w:szCs w:val="24"/>
        </w:rPr>
      </w:pPr>
      <w:r w:rsidRPr="00577354">
        <w:rPr>
          <w:rFonts w:ascii="Times New Roman" w:hAnsi="Times New Roman" w:cs="Times New Roman"/>
          <w:sz w:val="24"/>
          <w:szCs w:val="24"/>
        </w:rPr>
        <w:t>Таблица 1.2. Учет налога на прибыль</w:t>
      </w:r>
    </w:p>
    <w:tbl>
      <w:tblPr>
        <w:tblStyle w:val="af2"/>
        <w:tblW w:w="0" w:type="auto"/>
        <w:tblLook w:val="04A0" w:firstRow="1" w:lastRow="0" w:firstColumn="1" w:lastColumn="0" w:noHBand="0" w:noVBand="1"/>
      </w:tblPr>
      <w:tblGrid>
        <w:gridCol w:w="4956"/>
        <w:gridCol w:w="4955"/>
      </w:tblGrid>
      <w:tr w:rsidR="00577354" w:rsidRPr="00577354" w14:paraId="3476A2D6" w14:textId="77777777" w:rsidTr="000B60F3">
        <w:trPr>
          <w:tblHeader/>
        </w:trPr>
        <w:tc>
          <w:tcPr>
            <w:tcW w:w="5068" w:type="dxa"/>
            <w:shd w:val="clear" w:color="auto" w:fill="D9D9D9" w:themeFill="background1" w:themeFillShade="D9"/>
          </w:tcPr>
          <w:p w14:paraId="5B44C4D1" w14:textId="77777777" w:rsidR="00915818" w:rsidRPr="00577354" w:rsidRDefault="00915818" w:rsidP="000B60F3">
            <w:pPr>
              <w:tabs>
                <w:tab w:val="left" w:pos="1276"/>
                <w:tab w:val="left" w:pos="1365"/>
              </w:tabs>
              <w:jc w:val="center"/>
              <w:rPr>
                <w:rFonts w:ascii="Times New Roman" w:hAnsi="Times New Roman" w:cs="Times New Roman"/>
                <w:b/>
                <w:sz w:val="20"/>
                <w:szCs w:val="20"/>
              </w:rPr>
            </w:pPr>
            <w:r w:rsidRPr="00577354">
              <w:rPr>
                <w:rFonts w:ascii="Times New Roman" w:hAnsi="Times New Roman" w:cs="Times New Roman"/>
                <w:b/>
                <w:sz w:val="20"/>
                <w:szCs w:val="20"/>
              </w:rPr>
              <w:t>Налог на прибыль включают</w:t>
            </w:r>
          </w:p>
        </w:tc>
        <w:tc>
          <w:tcPr>
            <w:tcW w:w="5069" w:type="dxa"/>
            <w:shd w:val="clear" w:color="auto" w:fill="D9D9D9" w:themeFill="background1" w:themeFillShade="D9"/>
          </w:tcPr>
          <w:p w14:paraId="783F6E47" w14:textId="77777777" w:rsidR="00915818" w:rsidRPr="00577354" w:rsidRDefault="00915818" w:rsidP="000B60F3">
            <w:pPr>
              <w:tabs>
                <w:tab w:val="left" w:pos="1276"/>
                <w:tab w:val="left" w:pos="1365"/>
              </w:tabs>
              <w:jc w:val="center"/>
              <w:rPr>
                <w:rFonts w:ascii="Times New Roman" w:hAnsi="Times New Roman" w:cs="Times New Roman"/>
                <w:b/>
                <w:sz w:val="20"/>
                <w:szCs w:val="20"/>
              </w:rPr>
            </w:pPr>
            <w:r w:rsidRPr="00577354">
              <w:rPr>
                <w:rFonts w:ascii="Times New Roman" w:hAnsi="Times New Roman" w:cs="Times New Roman"/>
                <w:b/>
                <w:sz w:val="20"/>
                <w:szCs w:val="20"/>
              </w:rPr>
              <w:t>Налог на прибыль не включают</w:t>
            </w:r>
          </w:p>
        </w:tc>
      </w:tr>
      <w:tr w:rsidR="00577354" w:rsidRPr="00577354" w14:paraId="6F195EDC" w14:textId="77777777" w:rsidTr="000B60F3">
        <w:tc>
          <w:tcPr>
            <w:tcW w:w="5068" w:type="dxa"/>
          </w:tcPr>
          <w:p w14:paraId="4651CE1F"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Арбитражного суда Дальневосточного округа от 01.06.2020 №Ф03-1189/2020 по делу №А04-2118/2019 Требование: о взыскании неосновательного обогащения в виде переплаченной платы по договору субаренды помещений, упущенной выгоды в виде неполученного дохода. </w:t>
            </w:r>
          </w:p>
          <w:p w14:paraId="4B5D680F"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В обоснование размера понесенных убытков ООО </w:t>
            </w:r>
            <w:r w:rsidRPr="00577354">
              <w:rPr>
                <w:rFonts w:ascii="Times New Roman" w:hAnsi="Times New Roman" w:cs="Times New Roman"/>
              </w:rPr>
              <w:t>«</w:t>
            </w:r>
            <w:r w:rsidRPr="00577354">
              <w:rPr>
                <w:rFonts w:ascii="Times New Roman" w:hAnsi="Times New Roman" w:cs="Times New Roman"/>
                <w:sz w:val="20"/>
                <w:szCs w:val="20"/>
              </w:rPr>
              <w:t xml:space="preserve">РТК» представлен реестр накладных в адрес торговых точек за период с 01.05.2018 по 31.01.2019 по ООО </w:t>
            </w:r>
            <w:r w:rsidRPr="00577354">
              <w:rPr>
                <w:rFonts w:ascii="Times New Roman" w:hAnsi="Times New Roman" w:cs="Times New Roman"/>
              </w:rPr>
              <w:t>«</w:t>
            </w:r>
            <w:r w:rsidRPr="00577354">
              <w:rPr>
                <w:rFonts w:ascii="Times New Roman" w:hAnsi="Times New Roman" w:cs="Times New Roman"/>
                <w:sz w:val="20"/>
                <w:szCs w:val="20"/>
              </w:rPr>
              <w:t>РТК» ОП в г. Благовещенске на общую сумму продаж 81 379 567,94 руб. с приложением первичной документации (документы по реализации продукции, полным сводом начислений, удержаний и выплат, расчетом зарплатных налогов БЛГ за указанный период).</w:t>
            </w:r>
          </w:p>
          <w:p w14:paraId="596DD765"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Расчет упущенной выгоды произведен истцом исходя из объема продаж за весь период нахождения на складе путем деления на 195 рабочих дней и последующего умножения на 6 рабочих дней в феврале 2019 года. Получив сумму в размере 291 395,38 руб., ООО </w:t>
            </w:r>
            <w:r w:rsidRPr="00577354">
              <w:rPr>
                <w:rFonts w:ascii="Times New Roman" w:hAnsi="Times New Roman" w:cs="Times New Roman"/>
              </w:rPr>
              <w:t>«</w:t>
            </w:r>
            <w:r w:rsidRPr="00577354">
              <w:rPr>
                <w:rFonts w:ascii="Times New Roman" w:hAnsi="Times New Roman" w:cs="Times New Roman"/>
                <w:sz w:val="20"/>
                <w:szCs w:val="20"/>
              </w:rPr>
              <w:t xml:space="preserve">РТК» </w:t>
            </w:r>
            <w:r w:rsidRPr="00577354">
              <w:rPr>
                <w:rFonts w:ascii="Times New Roman" w:hAnsi="Times New Roman" w:cs="Times New Roman"/>
                <w:sz w:val="20"/>
                <w:szCs w:val="20"/>
                <w:u w:val="single"/>
              </w:rPr>
              <w:t>исключило из нее налог на прибыль</w:t>
            </w:r>
            <w:r w:rsidRPr="00577354">
              <w:rPr>
                <w:rFonts w:ascii="Times New Roman" w:hAnsi="Times New Roman" w:cs="Times New Roman"/>
                <w:sz w:val="20"/>
                <w:szCs w:val="20"/>
              </w:rPr>
              <w:t xml:space="preserve"> за 1 квартал 2019 года (согласно налоговой декларации по налогу на прибыль организации за 2019 отчетный год, сумма налога составила 4 654 руб.), рассчитанную за 8 дней (413,68 руб.) и затраты, понесенные на ГСМ из расчета на 2 автомобиля (20 л. в день х на 47,70 руб./литр), рассчитанные за 8 дней (15 168 руб.). Таким образом, по расчету истца убытки в виде упущенной выгоды составили 275 813,70 руб.</w:t>
            </w:r>
          </w:p>
        </w:tc>
        <w:tc>
          <w:tcPr>
            <w:tcW w:w="5069" w:type="dxa"/>
          </w:tcPr>
          <w:p w14:paraId="65ED36A0" w14:textId="54C902D4" w:rsidR="00915818" w:rsidRPr="00577354" w:rsidRDefault="00915818" w:rsidP="000B60F3">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Двадцать первого арбитражного апелляционного суда от 01.06.2020 №21АП-254/2020 по делу №А84-3793/2019</w:t>
            </w:r>
            <w:r w:rsidR="00E32577">
              <w:rPr>
                <w:rFonts w:ascii="Times New Roman" w:hAnsi="Times New Roman" w:cs="Times New Roman"/>
                <w:sz w:val="20"/>
                <w:szCs w:val="20"/>
              </w:rPr>
              <w:t>.</w:t>
            </w:r>
            <w:r w:rsidRPr="00577354">
              <w:rPr>
                <w:rFonts w:ascii="Times New Roman" w:hAnsi="Times New Roman" w:cs="Times New Roman"/>
                <w:sz w:val="20"/>
                <w:szCs w:val="20"/>
              </w:rPr>
              <w:t xml:space="preserve"> </w:t>
            </w:r>
          </w:p>
          <w:p w14:paraId="58557868" w14:textId="77777777" w:rsidR="00915818" w:rsidRPr="00577354" w:rsidRDefault="00915818" w:rsidP="000B60F3">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 xml:space="preserve">Требование: о расторжении договора субподряда и взыскании задолженности, процентов за пользование чужими денежными средствами, упущенной выгоды. </w:t>
            </w:r>
          </w:p>
          <w:p w14:paraId="61F91747" w14:textId="77777777" w:rsidR="00915818" w:rsidRPr="00577354" w:rsidRDefault="00915818" w:rsidP="000B60F3">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 у истца только после вступления решения суда в законную силу.</w:t>
            </w:r>
          </w:p>
          <w:p w14:paraId="2BFEF568" w14:textId="77777777" w:rsidR="00915818" w:rsidRPr="00577354" w:rsidRDefault="00915818" w:rsidP="000B60F3">
            <w:pPr>
              <w:tabs>
                <w:tab w:val="left" w:pos="918"/>
              </w:tabs>
              <w:jc w:val="both"/>
              <w:rPr>
                <w:rFonts w:ascii="Times New Roman" w:hAnsi="Times New Roman" w:cs="Times New Roman"/>
                <w:sz w:val="20"/>
                <w:szCs w:val="20"/>
              </w:rPr>
            </w:pPr>
            <w:r w:rsidRPr="00577354">
              <w:rPr>
                <w:rFonts w:ascii="Times New Roman" w:hAnsi="Times New Roman" w:cs="Times New Roman"/>
                <w:sz w:val="20"/>
                <w:szCs w:val="20"/>
              </w:rPr>
              <w:t xml:space="preserve">Таким образом, </w:t>
            </w:r>
            <w:r w:rsidRPr="00577354">
              <w:rPr>
                <w:rFonts w:ascii="Times New Roman" w:hAnsi="Times New Roman" w:cs="Times New Roman"/>
                <w:sz w:val="20"/>
                <w:szCs w:val="20"/>
                <w:u w:val="single"/>
              </w:rPr>
              <w:t>увеличение</w:t>
            </w:r>
            <w:r w:rsidRPr="00577354">
              <w:rPr>
                <w:rFonts w:ascii="Times New Roman" w:hAnsi="Times New Roman" w:cs="Times New Roman"/>
                <w:sz w:val="20"/>
                <w:szCs w:val="20"/>
              </w:rPr>
              <w:t xml:space="preserve"> затрат истца </w:t>
            </w:r>
            <w:r w:rsidRPr="00577354">
              <w:rPr>
                <w:rFonts w:ascii="Times New Roman" w:hAnsi="Times New Roman" w:cs="Times New Roman"/>
                <w:sz w:val="20"/>
                <w:szCs w:val="20"/>
                <w:u w:val="single"/>
              </w:rPr>
              <w:t>на налог</w:t>
            </w:r>
            <w:r w:rsidRPr="00577354">
              <w:rPr>
                <w:rFonts w:ascii="Times New Roman" w:hAnsi="Times New Roman" w:cs="Times New Roman"/>
                <w:sz w:val="20"/>
                <w:szCs w:val="20"/>
                <w:u w:val="single"/>
              </w:rPr>
              <w:br/>
              <w:t>на прибыль является неправомерным</w:t>
            </w:r>
            <w:r w:rsidRPr="00577354">
              <w:rPr>
                <w:rFonts w:ascii="Times New Roman" w:hAnsi="Times New Roman" w:cs="Times New Roman"/>
                <w:sz w:val="20"/>
                <w:szCs w:val="20"/>
              </w:rPr>
              <w:t>.</w:t>
            </w:r>
          </w:p>
        </w:tc>
      </w:tr>
      <w:tr w:rsidR="00577354" w:rsidRPr="00577354" w14:paraId="272840F2" w14:textId="77777777" w:rsidTr="000B60F3">
        <w:tc>
          <w:tcPr>
            <w:tcW w:w="5068" w:type="dxa"/>
          </w:tcPr>
          <w:p w14:paraId="3B591416" w14:textId="77777777" w:rsidR="00915818" w:rsidRPr="00577354" w:rsidRDefault="00915818" w:rsidP="000B60F3">
            <w:pPr>
              <w:tabs>
                <w:tab w:val="left" w:pos="1276"/>
                <w:tab w:val="left" w:pos="1365"/>
              </w:tabs>
              <w:jc w:val="both"/>
              <w:rPr>
                <w:rFonts w:ascii="Times New Roman" w:hAnsi="Times New Roman" w:cs="Times New Roman"/>
                <w:sz w:val="20"/>
                <w:szCs w:val="20"/>
              </w:rPr>
            </w:pPr>
          </w:p>
        </w:tc>
        <w:tc>
          <w:tcPr>
            <w:tcW w:w="5069" w:type="dxa"/>
          </w:tcPr>
          <w:p w14:paraId="636454B3"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Уральского округа от 09.11.2020 №Ф09-4808/20 по делу №А60-75205/2018 Требование: о взыскании упущенной выгоды. Обстоятельства: Истец указал на невозможность эксплуатации арендуемых помещений в торговом центре ввиду приостановления его деятельности по причине отсутствия автоматической установки пожарной сигнализации и системы пожаротушения в иных помещениях здания, собственником которых является ответчик. Решение: Требование удовлетворено частично, поскольку неустранение ответчиком нарушений правил пожарной безопасности явилось причиной невозможности осуществления истцом торговой деятельности, при этом размер убытков определен на основании заключения судебной экспертизы, а также с учетом наличия иных собственников помещений и площади помещений ответчика.</w:t>
            </w:r>
          </w:p>
          <w:p w14:paraId="1B124686"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При этом суд скорректировал размер упущенной выгоды, определенный экспертом, с учетом </w:t>
            </w:r>
            <w:r w:rsidRPr="00577354">
              <w:rPr>
                <w:rFonts w:ascii="Times New Roman" w:hAnsi="Times New Roman" w:cs="Times New Roman"/>
                <w:sz w:val="20"/>
                <w:szCs w:val="20"/>
                <w:u w:val="single"/>
              </w:rPr>
              <w:t>необоснованного исключения</w:t>
            </w:r>
            <w:r w:rsidRPr="00577354">
              <w:rPr>
                <w:rFonts w:ascii="Times New Roman" w:hAnsi="Times New Roman" w:cs="Times New Roman"/>
                <w:sz w:val="20"/>
                <w:szCs w:val="20"/>
              </w:rPr>
              <w:t xml:space="preserve"> из размера упущенной выгоды суммы </w:t>
            </w:r>
            <w:r w:rsidRPr="00577354">
              <w:rPr>
                <w:rFonts w:ascii="Times New Roman" w:hAnsi="Times New Roman" w:cs="Times New Roman"/>
                <w:sz w:val="20"/>
                <w:szCs w:val="20"/>
                <w:u w:val="single"/>
              </w:rPr>
              <w:t>налога на прибыль</w:t>
            </w:r>
            <w:r w:rsidRPr="00577354">
              <w:rPr>
                <w:rFonts w:ascii="Times New Roman" w:hAnsi="Times New Roman" w:cs="Times New Roman"/>
                <w:sz w:val="20"/>
                <w:szCs w:val="20"/>
              </w:rPr>
              <w:t>.</w:t>
            </w:r>
          </w:p>
        </w:tc>
      </w:tr>
      <w:tr w:rsidR="00577354" w:rsidRPr="00577354" w14:paraId="196BC27E" w14:textId="77777777" w:rsidTr="000B60F3">
        <w:tc>
          <w:tcPr>
            <w:tcW w:w="5068" w:type="dxa"/>
          </w:tcPr>
          <w:p w14:paraId="4E505B94" w14:textId="77777777" w:rsidR="00915818" w:rsidRPr="00577354" w:rsidRDefault="00915818" w:rsidP="000B60F3">
            <w:pPr>
              <w:tabs>
                <w:tab w:val="left" w:pos="1276"/>
                <w:tab w:val="left" w:pos="1365"/>
              </w:tabs>
              <w:jc w:val="both"/>
              <w:rPr>
                <w:rFonts w:ascii="Times New Roman" w:hAnsi="Times New Roman" w:cs="Times New Roman"/>
                <w:sz w:val="20"/>
                <w:szCs w:val="20"/>
              </w:rPr>
            </w:pPr>
          </w:p>
        </w:tc>
        <w:tc>
          <w:tcPr>
            <w:tcW w:w="5069" w:type="dxa"/>
          </w:tcPr>
          <w:p w14:paraId="7BD62A88"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Семнадцатого арбитражного апелляционного суда от 29.05.2015 №17АП-13928/2014-ГК по делу №А50-11630/2014 Требование о взыскании убытков, вызванных односторонним отказом ответчика от договора подряда, удовлетворено правомерно, поскольку ответчиком не доказан факт ненадлежащего исполнения обязательства истцом, ввиду чего истец имеет право на получение</w:t>
            </w:r>
            <w:r w:rsidRPr="00577354">
              <w:rPr>
                <w:rFonts w:ascii="Times New Roman" w:hAnsi="Times New Roman" w:cs="Times New Roman"/>
                <w:sz w:val="20"/>
                <w:szCs w:val="20"/>
              </w:rPr>
              <w:br/>
              <w:t>от ответчика стоимости подлежащих выполнению работ.</w:t>
            </w:r>
          </w:p>
          <w:p w14:paraId="622AA794"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Размер убытков правомерно определен судом первой инстанции с учетом результатов экономической экспертизы, в том числе, дополнительной, </w:t>
            </w:r>
            <w:r w:rsidRPr="00577354">
              <w:rPr>
                <w:rFonts w:ascii="Times New Roman" w:hAnsi="Times New Roman" w:cs="Times New Roman"/>
                <w:sz w:val="20"/>
                <w:szCs w:val="20"/>
                <w:u w:val="single"/>
              </w:rPr>
              <w:t>увеличенный на величину налога на прибыль</w:t>
            </w:r>
            <w:r w:rsidRPr="00577354">
              <w:rPr>
                <w:rFonts w:ascii="Times New Roman" w:hAnsi="Times New Roman" w:cs="Times New Roman"/>
                <w:sz w:val="20"/>
                <w:szCs w:val="20"/>
              </w:rPr>
              <w:t>, всего</w:t>
            </w:r>
            <w:r w:rsidRPr="00577354">
              <w:rPr>
                <w:rFonts w:ascii="Times New Roman" w:hAnsi="Times New Roman" w:cs="Times New Roman"/>
                <w:sz w:val="20"/>
                <w:szCs w:val="20"/>
              </w:rPr>
              <w:br/>
              <w:t>в сумме 5318520 руб.</w:t>
            </w:r>
          </w:p>
        </w:tc>
      </w:tr>
      <w:tr w:rsidR="00577354" w:rsidRPr="00577354" w14:paraId="32438AAB" w14:textId="77777777" w:rsidTr="000B60F3">
        <w:tc>
          <w:tcPr>
            <w:tcW w:w="5068" w:type="dxa"/>
          </w:tcPr>
          <w:p w14:paraId="56111A90" w14:textId="77777777" w:rsidR="00915818" w:rsidRPr="00577354" w:rsidRDefault="00915818" w:rsidP="000B60F3">
            <w:pPr>
              <w:tabs>
                <w:tab w:val="left" w:pos="1276"/>
                <w:tab w:val="left" w:pos="1365"/>
              </w:tabs>
              <w:jc w:val="both"/>
              <w:rPr>
                <w:rFonts w:ascii="Times New Roman" w:hAnsi="Times New Roman" w:cs="Times New Roman"/>
                <w:sz w:val="20"/>
                <w:szCs w:val="20"/>
              </w:rPr>
            </w:pPr>
          </w:p>
        </w:tc>
        <w:tc>
          <w:tcPr>
            <w:tcW w:w="5069" w:type="dxa"/>
          </w:tcPr>
          <w:p w14:paraId="6934E864"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 xml:space="preserve">Постановление Двадцать первого арбитражного апелляционного суда от 01.06.2020 №21АП-254/2020 по делу №А84-3793/2019, </w:t>
            </w:r>
          </w:p>
          <w:p w14:paraId="2DC43B9E"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Постановление Арбитражного суда Центрального округа от 15.10.2019 по делу №А08-10722/2018</w:t>
            </w:r>
          </w:p>
          <w:p w14:paraId="5C2FD677" w14:textId="77777777" w:rsidR="00915818" w:rsidRPr="00577354" w:rsidRDefault="00915818" w:rsidP="000B60F3">
            <w:pPr>
              <w:tabs>
                <w:tab w:val="left" w:pos="1276"/>
                <w:tab w:val="left" w:pos="1365"/>
              </w:tabs>
              <w:jc w:val="both"/>
              <w:rPr>
                <w:rFonts w:ascii="Times New Roman" w:hAnsi="Times New Roman" w:cs="Times New Roman"/>
                <w:sz w:val="20"/>
                <w:szCs w:val="20"/>
              </w:rPr>
            </w:pPr>
            <w:r w:rsidRPr="00577354">
              <w:rPr>
                <w:rFonts w:ascii="Times New Roman" w:hAnsi="Times New Roman" w:cs="Times New Roman"/>
                <w:sz w:val="20"/>
                <w:szCs w:val="20"/>
              </w:rPr>
              <w:t>«Анализ норм налогового законодательства (статьи 247, 249, пункт 3 статьи 250 Налогового кодекса Российской Федерации) позволяет сделать вывод, что обязанность по оплате налога на прибыль возникает</w:t>
            </w:r>
            <w:r w:rsidRPr="00577354">
              <w:rPr>
                <w:rFonts w:ascii="Times New Roman" w:hAnsi="Times New Roman" w:cs="Times New Roman"/>
                <w:sz w:val="20"/>
                <w:szCs w:val="20"/>
              </w:rPr>
              <w:br/>
              <w:t>у истца только после вступления решения суда</w:t>
            </w:r>
            <w:r w:rsidRPr="00577354">
              <w:rPr>
                <w:rFonts w:ascii="Times New Roman" w:hAnsi="Times New Roman" w:cs="Times New Roman"/>
                <w:sz w:val="20"/>
                <w:szCs w:val="20"/>
              </w:rPr>
              <w:br/>
              <w:t>в законную силу. Таким образом, увеличение затрат истца на налог на прибыль является неправомерным».</w:t>
            </w:r>
          </w:p>
        </w:tc>
      </w:tr>
      <w:bookmarkEnd w:id="0"/>
    </w:tbl>
    <w:p w14:paraId="642B8A20" w14:textId="7FF77D36" w:rsidR="00915818" w:rsidRPr="00577354" w:rsidRDefault="00915818" w:rsidP="00915818">
      <w:pPr>
        <w:rPr>
          <w:rFonts w:ascii="Times New Roman" w:hAnsi="Times New Roman" w:cs="Times New Roman"/>
          <w:sz w:val="24"/>
          <w:szCs w:val="24"/>
        </w:rPr>
      </w:pPr>
    </w:p>
    <w:sectPr w:rsidR="00915818" w:rsidRPr="00577354" w:rsidSect="00063945">
      <w:headerReference w:type="default"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A8DE" w14:textId="77777777" w:rsidR="006B2923" w:rsidRDefault="006B2923" w:rsidP="008657DF">
      <w:pPr>
        <w:spacing w:after="0" w:line="240" w:lineRule="auto"/>
      </w:pPr>
      <w:r>
        <w:separator/>
      </w:r>
    </w:p>
  </w:endnote>
  <w:endnote w:type="continuationSeparator" w:id="0">
    <w:p w14:paraId="46DA34A2" w14:textId="77777777" w:rsidR="006B2923" w:rsidRDefault="006B2923" w:rsidP="008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268"/>
      <w:docPartObj>
        <w:docPartGallery w:val="Page Numbers (Bottom of Page)"/>
        <w:docPartUnique/>
      </w:docPartObj>
    </w:sdtPr>
    <w:sdtEndPr>
      <w:rPr>
        <w:rFonts w:ascii="Times New Roman" w:hAnsi="Times New Roman" w:cs="Times New Roman"/>
        <w:sz w:val="20"/>
        <w:szCs w:val="20"/>
      </w:rPr>
    </w:sdtEndPr>
    <w:sdtContent>
      <w:p w14:paraId="0F64D12D" w14:textId="4BF0C90B" w:rsidR="005D3D4B" w:rsidRDefault="005D3D4B" w:rsidP="00BB78A5">
        <w:pPr>
          <w:pStyle w:val="af5"/>
          <w:pBdr>
            <w:top w:val="single" w:sz="4" w:space="1" w:color="auto"/>
          </w:pBdr>
          <w:spacing w:before="120"/>
          <w:jc w:val="center"/>
        </w:pPr>
        <w:r w:rsidRPr="009C05CF">
          <w:rPr>
            <w:rFonts w:ascii="Times New Roman" w:hAnsi="Times New Roman" w:cs="Times New Roman"/>
            <w:sz w:val="20"/>
            <w:szCs w:val="20"/>
          </w:rPr>
          <w:t>Методические рекомендации</w:t>
        </w:r>
        <w:r>
          <w:rPr>
            <w:rFonts w:ascii="Times New Roman" w:hAnsi="Times New Roman" w:cs="Times New Roman"/>
            <w:sz w:val="20"/>
            <w:szCs w:val="20"/>
          </w:rPr>
          <w:t xml:space="preserve"> «Определение размера упущенной выгоды»</w:t>
        </w:r>
        <w:r>
          <w:rPr>
            <w:rFonts w:ascii="Times New Roman" w:hAnsi="Times New Roman" w:cs="Times New Roman"/>
            <w:sz w:val="20"/>
            <w:szCs w:val="20"/>
          </w:rPr>
          <w:tab/>
        </w:r>
        <w:r w:rsidRPr="0062114B">
          <w:rPr>
            <w:rFonts w:ascii="Times New Roman" w:hAnsi="Times New Roman" w:cs="Times New Roman"/>
            <w:sz w:val="20"/>
            <w:szCs w:val="20"/>
          </w:rPr>
          <w:fldChar w:fldCharType="begin"/>
        </w:r>
        <w:r w:rsidRPr="0062114B">
          <w:rPr>
            <w:rFonts w:ascii="Times New Roman" w:hAnsi="Times New Roman" w:cs="Times New Roman"/>
            <w:sz w:val="20"/>
            <w:szCs w:val="20"/>
          </w:rPr>
          <w:instrText>PAGE   \* MERGEFORMAT</w:instrText>
        </w:r>
        <w:r w:rsidRPr="0062114B">
          <w:rPr>
            <w:rFonts w:ascii="Times New Roman" w:hAnsi="Times New Roman" w:cs="Times New Roman"/>
            <w:sz w:val="20"/>
            <w:szCs w:val="20"/>
          </w:rPr>
          <w:fldChar w:fldCharType="separate"/>
        </w:r>
        <w:r w:rsidR="00ED27DE">
          <w:rPr>
            <w:rFonts w:ascii="Times New Roman" w:hAnsi="Times New Roman" w:cs="Times New Roman"/>
            <w:noProof/>
            <w:sz w:val="20"/>
            <w:szCs w:val="20"/>
          </w:rPr>
          <w:t>3</w:t>
        </w:r>
        <w:r w:rsidRPr="0062114B">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2E00" w14:textId="77777777" w:rsidR="006B2923" w:rsidRDefault="006B2923" w:rsidP="008657DF">
      <w:pPr>
        <w:spacing w:after="0" w:line="240" w:lineRule="auto"/>
      </w:pPr>
      <w:r>
        <w:separator/>
      </w:r>
    </w:p>
  </w:footnote>
  <w:footnote w:type="continuationSeparator" w:id="0">
    <w:p w14:paraId="6D56231D" w14:textId="77777777" w:rsidR="006B2923" w:rsidRDefault="006B2923" w:rsidP="00865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DB52" w14:textId="01BD2C28" w:rsidR="005D3D4B" w:rsidRDefault="005D3D4B" w:rsidP="00BB78A5">
    <w:pPr>
      <w:pStyle w:val="af3"/>
      <w:pBdr>
        <w:bottom w:val="single" w:sz="4" w:space="1" w:color="auto"/>
      </w:pBdr>
      <w:tabs>
        <w:tab w:val="clear" w:pos="4677"/>
        <w:tab w:val="clear" w:pos="9355"/>
        <w:tab w:val="center" w:pos="5245"/>
        <w:tab w:val="right" w:pos="15026"/>
      </w:tabs>
      <w:spacing w:after="120"/>
    </w:pPr>
    <w:r>
      <w:rPr>
        <w:rFonts w:ascii="Book Antiqua" w:hAnsi="Book Antiqua" w:cs="Book Antiqua"/>
        <w:b/>
        <w:noProof/>
        <w:color w:val="943634"/>
        <w:sz w:val="44"/>
        <w:szCs w:val="44"/>
        <w:lang w:eastAsia="ru-RU"/>
      </w:rPr>
      <w:drawing>
        <wp:inline distT="0" distB="0" distL="0" distR="0" wp14:anchorId="7C19D95D" wp14:editId="06B4B94D">
          <wp:extent cx="310657" cy="313899"/>
          <wp:effectExtent l="0" t="0" r="0" b="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9"/>
                  <a:stretch/>
                </pic:blipFill>
                <pic:spPr bwMode="auto">
                  <a:xfrm>
                    <a:off x="0" y="0"/>
                    <a:ext cx="321618" cy="324974"/>
                  </a:xfrm>
                  <a:prstGeom prst="rect">
                    <a:avLst/>
                  </a:prstGeom>
                  <a:noFill/>
                  <a:ln>
                    <a:noFill/>
                  </a:ln>
                  <a:extLst>
                    <a:ext uri="{53640926-AAD7-44D8-BBD7-CCE9431645EC}">
                      <a14:shadowObscured xmlns:a14="http://schemas.microsoft.com/office/drawing/2010/main"/>
                    </a:ext>
                  </a:extLst>
                </pic:spPr>
              </pic:pic>
            </a:graphicData>
          </a:graphic>
        </wp:inline>
      </w:drawing>
    </w:r>
    <w:r>
      <w:tab/>
    </w:r>
    <w:r>
      <w:rPr>
        <w:rFonts w:ascii="Book Antiqua" w:hAnsi="Book Antiqua" w:cs="Vrinda"/>
        <w:b/>
        <w:noProof/>
        <w:color w:val="002F8E"/>
        <w:sz w:val="30"/>
        <w:szCs w:val="30"/>
        <w:lang w:eastAsia="ru-RU"/>
      </w:rPr>
      <w:drawing>
        <wp:inline distT="0" distB="0" distL="0" distR="0" wp14:anchorId="1E8B7091" wp14:editId="666A3B5F">
          <wp:extent cx="366253" cy="31662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b="26373"/>
                  <a:stretch>
                    <a:fillRect/>
                  </a:stretch>
                </pic:blipFill>
                <pic:spPr bwMode="auto">
                  <a:xfrm flipV="1">
                    <a:off x="0" y="0"/>
                    <a:ext cx="403996" cy="349256"/>
                  </a:xfrm>
                  <a:prstGeom prst="rect">
                    <a:avLst/>
                  </a:prstGeom>
                  <a:noFill/>
                  <a:ln>
                    <a:noFill/>
                  </a:ln>
                </pic:spPr>
              </pic:pic>
            </a:graphicData>
          </a:graphic>
        </wp:inline>
      </w:drawing>
    </w:r>
    <w:r>
      <w:tab/>
    </w:r>
    <w:r w:rsidRPr="0026203B">
      <w:rPr>
        <w:noProof/>
        <w:lang w:eastAsia="ru-RU"/>
      </w:rPr>
      <w:drawing>
        <wp:inline distT="0" distB="0" distL="0" distR="0" wp14:anchorId="2A0CA1EB" wp14:editId="4498D3E0">
          <wp:extent cx="343954" cy="316800"/>
          <wp:effectExtent l="0" t="0" r="0" b="762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43954" cy="31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74"/>
    <w:multiLevelType w:val="hybridMultilevel"/>
    <w:tmpl w:val="353C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77428"/>
    <w:multiLevelType w:val="hybridMultilevel"/>
    <w:tmpl w:val="06F40414"/>
    <w:lvl w:ilvl="0" w:tplc="41E67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B2B06"/>
    <w:multiLevelType w:val="hybridMultilevel"/>
    <w:tmpl w:val="6B20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813D5"/>
    <w:multiLevelType w:val="hybridMultilevel"/>
    <w:tmpl w:val="0F10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92F08"/>
    <w:multiLevelType w:val="hybridMultilevel"/>
    <w:tmpl w:val="225A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A71D4"/>
    <w:multiLevelType w:val="hybridMultilevel"/>
    <w:tmpl w:val="DF6E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F701A"/>
    <w:multiLevelType w:val="hybridMultilevel"/>
    <w:tmpl w:val="48FC5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63260"/>
    <w:multiLevelType w:val="hybridMultilevel"/>
    <w:tmpl w:val="7A664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2B4279"/>
    <w:multiLevelType w:val="multilevel"/>
    <w:tmpl w:val="0419001F"/>
    <w:styleLink w:v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0617A"/>
    <w:multiLevelType w:val="hybridMultilevel"/>
    <w:tmpl w:val="9FC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0945EC"/>
    <w:multiLevelType w:val="hybridMultilevel"/>
    <w:tmpl w:val="4DE0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A179F1"/>
    <w:multiLevelType w:val="hybridMultilevel"/>
    <w:tmpl w:val="A8F2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905B96"/>
    <w:multiLevelType w:val="hybridMultilevel"/>
    <w:tmpl w:val="921EF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46189D"/>
    <w:multiLevelType w:val="multilevel"/>
    <w:tmpl w:val="0532CE6A"/>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rPr>
    </w:lvl>
    <w:lvl w:ilvl="2">
      <w:start w:val="1"/>
      <w:numFmt w:val="decimal"/>
      <w:lvlText w:val="%1.%2.%3."/>
      <w:lvlJc w:val="left"/>
      <w:pPr>
        <w:ind w:left="1224" w:hanging="504"/>
      </w:pPr>
      <w:rPr>
        <w:b/>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C052B"/>
    <w:multiLevelType w:val="hybridMultilevel"/>
    <w:tmpl w:val="498AC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3D1187"/>
    <w:multiLevelType w:val="hybridMultilevel"/>
    <w:tmpl w:val="26C2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6D2FBB"/>
    <w:multiLevelType w:val="hybridMultilevel"/>
    <w:tmpl w:val="BD26E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C544D"/>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1424F5"/>
    <w:multiLevelType w:val="hybridMultilevel"/>
    <w:tmpl w:val="F95E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376EA7"/>
    <w:multiLevelType w:val="hybridMultilevel"/>
    <w:tmpl w:val="A094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7105EA"/>
    <w:multiLevelType w:val="hybridMultilevel"/>
    <w:tmpl w:val="42124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E84F38"/>
    <w:multiLevelType w:val="hybridMultilevel"/>
    <w:tmpl w:val="A5A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A94D64"/>
    <w:multiLevelType w:val="hybridMultilevel"/>
    <w:tmpl w:val="772EB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20F44EF"/>
    <w:multiLevelType w:val="hybridMultilevel"/>
    <w:tmpl w:val="9E0A6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32E542E"/>
    <w:multiLevelType w:val="hybridMultilevel"/>
    <w:tmpl w:val="3BAC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072F46"/>
    <w:multiLevelType w:val="hybridMultilevel"/>
    <w:tmpl w:val="BC3CE0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9FA1C32"/>
    <w:multiLevelType w:val="hybridMultilevel"/>
    <w:tmpl w:val="A00E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181C5A"/>
    <w:multiLevelType w:val="hybridMultilevel"/>
    <w:tmpl w:val="AF528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2BA62A5A"/>
    <w:multiLevelType w:val="hybridMultilevel"/>
    <w:tmpl w:val="706C6E2C"/>
    <w:lvl w:ilvl="0" w:tplc="041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C3473D6"/>
    <w:multiLevelType w:val="hybridMultilevel"/>
    <w:tmpl w:val="7D046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D04681"/>
    <w:multiLevelType w:val="hybridMultilevel"/>
    <w:tmpl w:val="18CA479A"/>
    <w:lvl w:ilvl="0" w:tplc="5B64953C">
      <w:start w:val="1"/>
      <w:numFmt w:val="bullet"/>
      <w:lvlText w:val="•"/>
      <w:lvlJc w:val="left"/>
      <w:pPr>
        <w:tabs>
          <w:tab w:val="num" w:pos="720"/>
        </w:tabs>
        <w:ind w:left="720" w:hanging="360"/>
      </w:pPr>
      <w:rPr>
        <w:rFonts w:ascii="Arial" w:hAnsi="Arial" w:hint="default"/>
      </w:rPr>
    </w:lvl>
    <w:lvl w:ilvl="1" w:tplc="A0E6392A" w:tentative="1">
      <w:start w:val="1"/>
      <w:numFmt w:val="bullet"/>
      <w:lvlText w:val="•"/>
      <w:lvlJc w:val="left"/>
      <w:pPr>
        <w:tabs>
          <w:tab w:val="num" w:pos="1440"/>
        </w:tabs>
        <w:ind w:left="1440" w:hanging="360"/>
      </w:pPr>
      <w:rPr>
        <w:rFonts w:ascii="Arial" w:hAnsi="Arial" w:hint="default"/>
      </w:rPr>
    </w:lvl>
    <w:lvl w:ilvl="2" w:tplc="6362371C" w:tentative="1">
      <w:start w:val="1"/>
      <w:numFmt w:val="bullet"/>
      <w:lvlText w:val="•"/>
      <w:lvlJc w:val="left"/>
      <w:pPr>
        <w:tabs>
          <w:tab w:val="num" w:pos="2160"/>
        </w:tabs>
        <w:ind w:left="2160" w:hanging="360"/>
      </w:pPr>
      <w:rPr>
        <w:rFonts w:ascii="Arial" w:hAnsi="Arial" w:hint="default"/>
      </w:rPr>
    </w:lvl>
    <w:lvl w:ilvl="3" w:tplc="79C26E9E" w:tentative="1">
      <w:start w:val="1"/>
      <w:numFmt w:val="bullet"/>
      <w:lvlText w:val="•"/>
      <w:lvlJc w:val="left"/>
      <w:pPr>
        <w:tabs>
          <w:tab w:val="num" w:pos="2880"/>
        </w:tabs>
        <w:ind w:left="2880" w:hanging="360"/>
      </w:pPr>
      <w:rPr>
        <w:rFonts w:ascii="Arial" w:hAnsi="Arial" w:hint="default"/>
      </w:rPr>
    </w:lvl>
    <w:lvl w:ilvl="4" w:tplc="FD9011B2" w:tentative="1">
      <w:start w:val="1"/>
      <w:numFmt w:val="bullet"/>
      <w:lvlText w:val="•"/>
      <w:lvlJc w:val="left"/>
      <w:pPr>
        <w:tabs>
          <w:tab w:val="num" w:pos="3600"/>
        </w:tabs>
        <w:ind w:left="3600" w:hanging="360"/>
      </w:pPr>
      <w:rPr>
        <w:rFonts w:ascii="Arial" w:hAnsi="Arial" w:hint="default"/>
      </w:rPr>
    </w:lvl>
    <w:lvl w:ilvl="5" w:tplc="302EC9E8" w:tentative="1">
      <w:start w:val="1"/>
      <w:numFmt w:val="bullet"/>
      <w:lvlText w:val="•"/>
      <w:lvlJc w:val="left"/>
      <w:pPr>
        <w:tabs>
          <w:tab w:val="num" w:pos="4320"/>
        </w:tabs>
        <w:ind w:left="4320" w:hanging="360"/>
      </w:pPr>
      <w:rPr>
        <w:rFonts w:ascii="Arial" w:hAnsi="Arial" w:hint="default"/>
      </w:rPr>
    </w:lvl>
    <w:lvl w:ilvl="6" w:tplc="3BE88ED4" w:tentative="1">
      <w:start w:val="1"/>
      <w:numFmt w:val="bullet"/>
      <w:lvlText w:val="•"/>
      <w:lvlJc w:val="left"/>
      <w:pPr>
        <w:tabs>
          <w:tab w:val="num" w:pos="5040"/>
        </w:tabs>
        <w:ind w:left="5040" w:hanging="360"/>
      </w:pPr>
      <w:rPr>
        <w:rFonts w:ascii="Arial" w:hAnsi="Arial" w:hint="default"/>
      </w:rPr>
    </w:lvl>
    <w:lvl w:ilvl="7" w:tplc="DCA8B628" w:tentative="1">
      <w:start w:val="1"/>
      <w:numFmt w:val="bullet"/>
      <w:lvlText w:val="•"/>
      <w:lvlJc w:val="left"/>
      <w:pPr>
        <w:tabs>
          <w:tab w:val="num" w:pos="5760"/>
        </w:tabs>
        <w:ind w:left="5760" w:hanging="360"/>
      </w:pPr>
      <w:rPr>
        <w:rFonts w:ascii="Arial" w:hAnsi="Arial" w:hint="default"/>
      </w:rPr>
    </w:lvl>
    <w:lvl w:ilvl="8" w:tplc="976806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130437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8F5A65"/>
    <w:multiLevelType w:val="hybridMultilevel"/>
    <w:tmpl w:val="503CA6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FC6D77"/>
    <w:multiLevelType w:val="hybridMultilevel"/>
    <w:tmpl w:val="5E1C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953AC0"/>
    <w:multiLevelType w:val="hybridMultilevel"/>
    <w:tmpl w:val="4662A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B9200E"/>
    <w:multiLevelType w:val="hybridMultilevel"/>
    <w:tmpl w:val="F4424A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AC315B5"/>
    <w:multiLevelType w:val="hybridMultilevel"/>
    <w:tmpl w:val="0D0624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3BB541F1"/>
    <w:multiLevelType w:val="hybridMultilevel"/>
    <w:tmpl w:val="11B236A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D8D0C9D"/>
    <w:multiLevelType w:val="hybridMultilevel"/>
    <w:tmpl w:val="31C60840"/>
    <w:lvl w:ilvl="0" w:tplc="A6D49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E807E49"/>
    <w:multiLevelType w:val="hybridMultilevel"/>
    <w:tmpl w:val="059C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3235979"/>
    <w:multiLevelType w:val="hybridMultilevel"/>
    <w:tmpl w:val="67B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8FE0434"/>
    <w:multiLevelType w:val="hybridMultilevel"/>
    <w:tmpl w:val="E4EE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E76D9C"/>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51407A"/>
    <w:multiLevelType w:val="hybridMultilevel"/>
    <w:tmpl w:val="9CB45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6C480B"/>
    <w:multiLevelType w:val="hybridMultilevel"/>
    <w:tmpl w:val="1EE0E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EC35561"/>
    <w:multiLevelType w:val="hybridMultilevel"/>
    <w:tmpl w:val="56463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34A7400"/>
    <w:multiLevelType w:val="hybridMultilevel"/>
    <w:tmpl w:val="CEB69F28"/>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7" w15:restartNumberingAfterBreak="0">
    <w:nsid w:val="53E079FA"/>
    <w:multiLevelType w:val="hybridMultilevel"/>
    <w:tmpl w:val="8F26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4935D4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66E0B03"/>
    <w:multiLevelType w:val="hybridMultilevel"/>
    <w:tmpl w:val="4A029526"/>
    <w:lvl w:ilvl="0" w:tplc="6C48905C">
      <w:start w:val="1"/>
      <w:numFmt w:val="bullet"/>
      <w:lvlText w:val="•"/>
      <w:lvlJc w:val="left"/>
      <w:pPr>
        <w:tabs>
          <w:tab w:val="num" w:pos="720"/>
        </w:tabs>
        <w:ind w:left="720" w:hanging="360"/>
      </w:pPr>
      <w:rPr>
        <w:rFonts w:ascii="Arial" w:hAnsi="Arial" w:hint="default"/>
      </w:rPr>
    </w:lvl>
    <w:lvl w:ilvl="1" w:tplc="841C9CBC" w:tentative="1">
      <w:start w:val="1"/>
      <w:numFmt w:val="bullet"/>
      <w:lvlText w:val="•"/>
      <w:lvlJc w:val="left"/>
      <w:pPr>
        <w:tabs>
          <w:tab w:val="num" w:pos="1440"/>
        </w:tabs>
        <w:ind w:left="1440" w:hanging="360"/>
      </w:pPr>
      <w:rPr>
        <w:rFonts w:ascii="Arial" w:hAnsi="Arial" w:hint="default"/>
      </w:rPr>
    </w:lvl>
    <w:lvl w:ilvl="2" w:tplc="50A061A6" w:tentative="1">
      <w:start w:val="1"/>
      <w:numFmt w:val="bullet"/>
      <w:lvlText w:val="•"/>
      <w:lvlJc w:val="left"/>
      <w:pPr>
        <w:tabs>
          <w:tab w:val="num" w:pos="2160"/>
        </w:tabs>
        <w:ind w:left="2160" w:hanging="360"/>
      </w:pPr>
      <w:rPr>
        <w:rFonts w:ascii="Arial" w:hAnsi="Arial" w:hint="default"/>
      </w:rPr>
    </w:lvl>
    <w:lvl w:ilvl="3" w:tplc="8AECF3AA" w:tentative="1">
      <w:start w:val="1"/>
      <w:numFmt w:val="bullet"/>
      <w:lvlText w:val="•"/>
      <w:lvlJc w:val="left"/>
      <w:pPr>
        <w:tabs>
          <w:tab w:val="num" w:pos="2880"/>
        </w:tabs>
        <w:ind w:left="2880" w:hanging="360"/>
      </w:pPr>
      <w:rPr>
        <w:rFonts w:ascii="Arial" w:hAnsi="Arial" w:hint="default"/>
      </w:rPr>
    </w:lvl>
    <w:lvl w:ilvl="4" w:tplc="50F08E92" w:tentative="1">
      <w:start w:val="1"/>
      <w:numFmt w:val="bullet"/>
      <w:lvlText w:val="•"/>
      <w:lvlJc w:val="left"/>
      <w:pPr>
        <w:tabs>
          <w:tab w:val="num" w:pos="3600"/>
        </w:tabs>
        <w:ind w:left="3600" w:hanging="360"/>
      </w:pPr>
      <w:rPr>
        <w:rFonts w:ascii="Arial" w:hAnsi="Arial" w:hint="default"/>
      </w:rPr>
    </w:lvl>
    <w:lvl w:ilvl="5" w:tplc="E19A87BA" w:tentative="1">
      <w:start w:val="1"/>
      <w:numFmt w:val="bullet"/>
      <w:lvlText w:val="•"/>
      <w:lvlJc w:val="left"/>
      <w:pPr>
        <w:tabs>
          <w:tab w:val="num" w:pos="4320"/>
        </w:tabs>
        <w:ind w:left="4320" w:hanging="360"/>
      </w:pPr>
      <w:rPr>
        <w:rFonts w:ascii="Arial" w:hAnsi="Arial" w:hint="default"/>
      </w:rPr>
    </w:lvl>
    <w:lvl w:ilvl="6" w:tplc="5CDCCB24" w:tentative="1">
      <w:start w:val="1"/>
      <w:numFmt w:val="bullet"/>
      <w:lvlText w:val="•"/>
      <w:lvlJc w:val="left"/>
      <w:pPr>
        <w:tabs>
          <w:tab w:val="num" w:pos="5040"/>
        </w:tabs>
        <w:ind w:left="5040" w:hanging="360"/>
      </w:pPr>
      <w:rPr>
        <w:rFonts w:ascii="Arial" w:hAnsi="Arial" w:hint="default"/>
      </w:rPr>
    </w:lvl>
    <w:lvl w:ilvl="7" w:tplc="B57620DA" w:tentative="1">
      <w:start w:val="1"/>
      <w:numFmt w:val="bullet"/>
      <w:lvlText w:val="•"/>
      <w:lvlJc w:val="left"/>
      <w:pPr>
        <w:tabs>
          <w:tab w:val="num" w:pos="5760"/>
        </w:tabs>
        <w:ind w:left="5760" w:hanging="360"/>
      </w:pPr>
      <w:rPr>
        <w:rFonts w:ascii="Arial" w:hAnsi="Arial" w:hint="default"/>
      </w:rPr>
    </w:lvl>
    <w:lvl w:ilvl="8" w:tplc="C024B2E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0A6F1C"/>
    <w:multiLevelType w:val="hybridMultilevel"/>
    <w:tmpl w:val="A9AC9C28"/>
    <w:lvl w:ilvl="0" w:tplc="49522904">
      <w:start w:val="1"/>
      <w:numFmt w:val="bullet"/>
      <w:lvlText w:val="•"/>
      <w:lvlJc w:val="left"/>
      <w:pPr>
        <w:tabs>
          <w:tab w:val="num" w:pos="720"/>
        </w:tabs>
        <w:ind w:left="720" w:hanging="360"/>
      </w:pPr>
      <w:rPr>
        <w:rFonts w:ascii="Arial" w:hAnsi="Arial" w:hint="default"/>
      </w:rPr>
    </w:lvl>
    <w:lvl w:ilvl="1" w:tplc="0804DC9A" w:tentative="1">
      <w:start w:val="1"/>
      <w:numFmt w:val="bullet"/>
      <w:lvlText w:val="•"/>
      <w:lvlJc w:val="left"/>
      <w:pPr>
        <w:tabs>
          <w:tab w:val="num" w:pos="1440"/>
        </w:tabs>
        <w:ind w:left="1440" w:hanging="360"/>
      </w:pPr>
      <w:rPr>
        <w:rFonts w:ascii="Arial" w:hAnsi="Arial" w:hint="default"/>
      </w:rPr>
    </w:lvl>
    <w:lvl w:ilvl="2" w:tplc="9D567838" w:tentative="1">
      <w:start w:val="1"/>
      <w:numFmt w:val="bullet"/>
      <w:lvlText w:val="•"/>
      <w:lvlJc w:val="left"/>
      <w:pPr>
        <w:tabs>
          <w:tab w:val="num" w:pos="2160"/>
        </w:tabs>
        <w:ind w:left="2160" w:hanging="360"/>
      </w:pPr>
      <w:rPr>
        <w:rFonts w:ascii="Arial" w:hAnsi="Arial" w:hint="default"/>
      </w:rPr>
    </w:lvl>
    <w:lvl w:ilvl="3" w:tplc="9F922832" w:tentative="1">
      <w:start w:val="1"/>
      <w:numFmt w:val="bullet"/>
      <w:lvlText w:val="•"/>
      <w:lvlJc w:val="left"/>
      <w:pPr>
        <w:tabs>
          <w:tab w:val="num" w:pos="2880"/>
        </w:tabs>
        <w:ind w:left="2880" w:hanging="360"/>
      </w:pPr>
      <w:rPr>
        <w:rFonts w:ascii="Arial" w:hAnsi="Arial" w:hint="default"/>
      </w:rPr>
    </w:lvl>
    <w:lvl w:ilvl="4" w:tplc="780E151C" w:tentative="1">
      <w:start w:val="1"/>
      <w:numFmt w:val="bullet"/>
      <w:lvlText w:val="•"/>
      <w:lvlJc w:val="left"/>
      <w:pPr>
        <w:tabs>
          <w:tab w:val="num" w:pos="3600"/>
        </w:tabs>
        <w:ind w:left="3600" w:hanging="360"/>
      </w:pPr>
      <w:rPr>
        <w:rFonts w:ascii="Arial" w:hAnsi="Arial" w:hint="default"/>
      </w:rPr>
    </w:lvl>
    <w:lvl w:ilvl="5" w:tplc="4F480A86" w:tentative="1">
      <w:start w:val="1"/>
      <w:numFmt w:val="bullet"/>
      <w:lvlText w:val="•"/>
      <w:lvlJc w:val="left"/>
      <w:pPr>
        <w:tabs>
          <w:tab w:val="num" w:pos="4320"/>
        </w:tabs>
        <w:ind w:left="4320" w:hanging="360"/>
      </w:pPr>
      <w:rPr>
        <w:rFonts w:ascii="Arial" w:hAnsi="Arial" w:hint="default"/>
      </w:rPr>
    </w:lvl>
    <w:lvl w:ilvl="6" w:tplc="F6CED456" w:tentative="1">
      <w:start w:val="1"/>
      <w:numFmt w:val="bullet"/>
      <w:lvlText w:val="•"/>
      <w:lvlJc w:val="left"/>
      <w:pPr>
        <w:tabs>
          <w:tab w:val="num" w:pos="5040"/>
        </w:tabs>
        <w:ind w:left="5040" w:hanging="360"/>
      </w:pPr>
      <w:rPr>
        <w:rFonts w:ascii="Arial" w:hAnsi="Arial" w:hint="default"/>
      </w:rPr>
    </w:lvl>
    <w:lvl w:ilvl="7" w:tplc="5E2667CA" w:tentative="1">
      <w:start w:val="1"/>
      <w:numFmt w:val="bullet"/>
      <w:lvlText w:val="•"/>
      <w:lvlJc w:val="left"/>
      <w:pPr>
        <w:tabs>
          <w:tab w:val="num" w:pos="5760"/>
        </w:tabs>
        <w:ind w:left="5760" w:hanging="360"/>
      </w:pPr>
      <w:rPr>
        <w:rFonts w:ascii="Arial" w:hAnsi="Arial" w:hint="default"/>
      </w:rPr>
    </w:lvl>
    <w:lvl w:ilvl="8" w:tplc="301CFF0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80E5194"/>
    <w:multiLevelType w:val="hybridMultilevel"/>
    <w:tmpl w:val="B9DA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A57CDF"/>
    <w:multiLevelType w:val="hybridMultilevel"/>
    <w:tmpl w:val="A1BAC39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5B476BCC"/>
    <w:multiLevelType w:val="hybridMultilevel"/>
    <w:tmpl w:val="5F1AE87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4" w15:restartNumberingAfterBreak="0">
    <w:nsid w:val="5D89170B"/>
    <w:multiLevelType w:val="hybridMultilevel"/>
    <w:tmpl w:val="6A6E87DA"/>
    <w:lvl w:ilvl="0" w:tplc="608686B8">
      <w:start w:val="1"/>
      <w:numFmt w:val="bullet"/>
      <w:lvlText w:val="•"/>
      <w:lvlJc w:val="left"/>
      <w:pPr>
        <w:tabs>
          <w:tab w:val="num" w:pos="720"/>
        </w:tabs>
        <w:ind w:left="720" w:hanging="360"/>
      </w:pPr>
      <w:rPr>
        <w:rFonts w:ascii="Arial" w:hAnsi="Arial" w:hint="default"/>
      </w:rPr>
    </w:lvl>
    <w:lvl w:ilvl="1" w:tplc="C68463BA" w:tentative="1">
      <w:start w:val="1"/>
      <w:numFmt w:val="bullet"/>
      <w:lvlText w:val="•"/>
      <w:lvlJc w:val="left"/>
      <w:pPr>
        <w:tabs>
          <w:tab w:val="num" w:pos="1440"/>
        </w:tabs>
        <w:ind w:left="1440" w:hanging="360"/>
      </w:pPr>
      <w:rPr>
        <w:rFonts w:ascii="Arial" w:hAnsi="Arial" w:hint="default"/>
      </w:rPr>
    </w:lvl>
    <w:lvl w:ilvl="2" w:tplc="3598830E" w:tentative="1">
      <w:start w:val="1"/>
      <w:numFmt w:val="bullet"/>
      <w:lvlText w:val="•"/>
      <w:lvlJc w:val="left"/>
      <w:pPr>
        <w:tabs>
          <w:tab w:val="num" w:pos="2160"/>
        </w:tabs>
        <w:ind w:left="2160" w:hanging="360"/>
      </w:pPr>
      <w:rPr>
        <w:rFonts w:ascii="Arial" w:hAnsi="Arial" w:hint="default"/>
      </w:rPr>
    </w:lvl>
    <w:lvl w:ilvl="3" w:tplc="2D64AE46" w:tentative="1">
      <w:start w:val="1"/>
      <w:numFmt w:val="bullet"/>
      <w:lvlText w:val="•"/>
      <w:lvlJc w:val="left"/>
      <w:pPr>
        <w:tabs>
          <w:tab w:val="num" w:pos="2880"/>
        </w:tabs>
        <w:ind w:left="2880" w:hanging="360"/>
      </w:pPr>
      <w:rPr>
        <w:rFonts w:ascii="Arial" w:hAnsi="Arial" w:hint="default"/>
      </w:rPr>
    </w:lvl>
    <w:lvl w:ilvl="4" w:tplc="5B46F1B4" w:tentative="1">
      <w:start w:val="1"/>
      <w:numFmt w:val="bullet"/>
      <w:lvlText w:val="•"/>
      <w:lvlJc w:val="left"/>
      <w:pPr>
        <w:tabs>
          <w:tab w:val="num" w:pos="3600"/>
        </w:tabs>
        <w:ind w:left="3600" w:hanging="360"/>
      </w:pPr>
      <w:rPr>
        <w:rFonts w:ascii="Arial" w:hAnsi="Arial" w:hint="default"/>
      </w:rPr>
    </w:lvl>
    <w:lvl w:ilvl="5" w:tplc="4F143582" w:tentative="1">
      <w:start w:val="1"/>
      <w:numFmt w:val="bullet"/>
      <w:lvlText w:val="•"/>
      <w:lvlJc w:val="left"/>
      <w:pPr>
        <w:tabs>
          <w:tab w:val="num" w:pos="4320"/>
        </w:tabs>
        <w:ind w:left="4320" w:hanging="360"/>
      </w:pPr>
      <w:rPr>
        <w:rFonts w:ascii="Arial" w:hAnsi="Arial" w:hint="default"/>
      </w:rPr>
    </w:lvl>
    <w:lvl w:ilvl="6" w:tplc="378EA502" w:tentative="1">
      <w:start w:val="1"/>
      <w:numFmt w:val="bullet"/>
      <w:lvlText w:val="•"/>
      <w:lvlJc w:val="left"/>
      <w:pPr>
        <w:tabs>
          <w:tab w:val="num" w:pos="5040"/>
        </w:tabs>
        <w:ind w:left="5040" w:hanging="360"/>
      </w:pPr>
      <w:rPr>
        <w:rFonts w:ascii="Arial" w:hAnsi="Arial" w:hint="default"/>
      </w:rPr>
    </w:lvl>
    <w:lvl w:ilvl="7" w:tplc="CF98B4CE" w:tentative="1">
      <w:start w:val="1"/>
      <w:numFmt w:val="bullet"/>
      <w:lvlText w:val="•"/>
      <w:lvlJc w:val="left"/>
      <w:pPr>
        <w:tabs>
          <w:tab w:val="num" w:pos="5760"/>
        </w:tabs>
        <w:ind w:left="5760" w:hanging="360"/>
      </w:pPr>
      <w:rPr>
        <w:rFonts w:ascii="Arial" w:hAnsi="Arial" w:hint="default"/>
      </w:rPr>
    </w:lvl>
    <w:lvl w:ilvl="8" w:tplc="E970FC4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DD753B8"/>
    <w:multiLevelType w:val="hybridMultilevel"/>
    <w:tmpl w:val="1EA2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3C2B9F"/>
    <w:multiLevelType w:val="hybridMultilevel"/>
    <w:tmpl w:val="6B7C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8A1B45"/>
    <w:multiLevelType w:val="hybridMultilevel"/>
    <w:tmpl w:val="2E98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59067C"/>
    <w:multiLevelType w:val="hybridMultilevel"/>
    <w:tmpl w:val="F854432C"/>
    <w:lvl w:ilvl="0" w:tplc="6832BFF0">
      <w:start w:val="1"/>
      <w:numFmt w:val="bullet"/>
      <w:lvlText w:val="•"/>
      <w:lvlJc w:val="left"/>
      <w:pPr>
        <w:tabs>
          <w:tab w:val="num" w:pos="720"/>
        </w:tabs>
        <w:ind w:left="720" w:hanging="360"/>
      </w:pPr>
      <w:rPr>
        <w:rFonts w:ascii="Arial" w:hAnsi="Arial" w:hint="default"/>
      </w:rPr>
    </w:lvl>
    <w:lvl w:ilvl="1" w:tplc="CCF2F9E2" w:tentative="1">
      <w:start w:val="1"/>
      <w:numFmt w:val="bullet"/>
      <w:lvlText w:val="•"/>
      <w:lvlJc w:val="left"/>
      <w:pPr>
        <w:tabs>
          <w:tab w:val="num" w:pos="1440"/>
        </w:tabs>
        <w:ind w:left="1440" w:hanging="360"/>
      </w:pPr>
      <w:rPr>
        <w:rFonts w:ascii="Arial" w:hAnsi="Arial" w:hint="default"/>
      </w:rPr>
    </w:lvl>
    <w:lvl w:ilvl="2" w:tplc="FB66FC76" w:tentative="1">
      <w:start w:val="1"/>
      <w:numFmt w:val="bullet"/>
      <w:lvlText w:val="•"/>
      <w:lvlJc w:val="left"/>
      <w:pPr>
        <w:tabs>
          <w:tab w:val="num" w:pos="2160"/>
        </w:tabs>
        <w:ind w:left="2160" w:hanging="360"/>
      </w:pPr>
      <w:rPr>
        <w:rFonts w:ascii="Arial" w:hAnsi="Arial" w:hint="default"/>
      </w:rPr>
    </w:lvl>
    <w:lvl w:ilvl="3" w:tplc="E25A3914" w:tentative="1">
      <w:start w:val="1"/>
      <w:numFmt w:val="bullet"/>
      <w:lvlText w:val="•"/>
      <w:lvlJc w:val="left"/>
      <w:pPr>
        <w:tabs>
          <w:tab w:val="num" w:pos="2880"/>
        </w:tabs>
        <w:ind w:left="2880" w:hanging="360"/>
      </w:pPr>
      <w:rPr>
        <w:rFonts w:ascii="Arial" w:hAnsi="Arial" w:hint="default"/>
      </w:rPr>
    </w:lvl>
    <w:lvl w:ilvl="4" w:tplc="01F0C6B8" w:tentative="1">
      <w:start w:val="1"/>
      <w:numFmt w:val="bullet"/>
      <w:lvlText w:val="•"/>
      <w:lvlJc w:val="left"/>
      <w:pPr>
        <w:tabs>
          <w:tab w:val="num" w:pos="3600"/>
        </w:tabs>
        <w:ind w:left="3600" w:hanging="360"/>
      </w:pPr>
      <w:rPr>
        <w:rFonts w:ascii="Arial" w:hAnsi="Arial" w:hint="default"/>
      </w:rPr>
    </w:lvl>
    <w:lvl w:ilvl="5" w:tplc="244E3072" w:tentative="1">
      <w:start w:val="1"/>
      <w:numFmt w:val="bullet"/>
      <w:lvlText w:val="•"/>
      <w:lvlJc w:val="left"/>
      <w:pPr>
        <w:tabs>
          <w:tab w:val="num" w:pos="4320"/>
        </w:tabs>
        <w:ind w:left="4320" w:hanging="360"/>
      </w:pPr>
      <w:rPr>
        <w:rFonts w:ascii="Arial" w:hAnsi="Arial" w:hint="default"/>
      </w:rPr>
    </w:lvl>
    <w:lvl w:ilvl="6" w:tplc="CBA4E44E" w:tentative="1">
      <w:start w:val="1"/>
      <w:numFmt w:val="bullet"/>
      <w:lvlText w:val="•"/>
      <w:lvlJc w:val="left"/>
      <w:pPr>
        <w:tabs>
          <w:tab w:val="num" w:pos="5040"/>
        </w:tabs>
        <w:ind w:left="5040" w:hanging="360"/>
      </w:pPr>
      <w:rPr>
        <w:rFonts w:ascii="Arial" w:hAnsi="Arial" w:hint="default"/>
      </w:rPr>
    </w:lvl>
    <w:lvl w:ilvl="7" w:tplc="2B62D902" w:tentative="1">
      <w:start w:val="1"/>
      <w:numFmt w:val="bullet"/>
      <w:lvlText w:val="•"/>
      <w:lvlJc w:val="left"/>
      <w:pPr>
        <w:tabs>
          <w:tab w:val="num" w:pos="5760"/>
        </w:tabs>
        <w:ind w:left="5760" w:hanging="360"/>
      </w:pPr>
      <w:rPr>
        <w:rFonts w:ascii="Arial" w:hAnsi="Arial" w:hint="default"/>
      </w:rPr>
    </w:lvl>
    <w:lvl w:ilvl="8" w:tplc="AE5471F8"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7EC11E4"/>
    <w:multiLevelType w:val="hybridMultilevel"/>
    <w:tmpl w:val="1994A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BCC4465"/>
    <w:multiLevelType w:val="hybridMultilevel"/>
    <w:tmpl w:val="4E38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E12067D"/>
    <w:multiLevelType w:val="multilevel"/>
    <w:tmpl w:val="28B2BA4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DB2401"/>
    <w:multiLevelType w:val="hybridMultilevel"/>
    <w:tmpl w:val="DD54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FF05BE"/>
    <w:multiLevelType w:val="multilevel"/>
    <w:tmpl w:val="28909B9C"/>
    <w:lvl w:ilvl="0">
      <w:start w:val="1"/>
      <w:numFmt w:val="decimal"/>
      <w:lvlText w:val="%1."/>
      <w:lvlJc w:val="left"/>
      <w:pPr>
        <w:ind w:left="1428" w:hanging="360"/>
      </w:pPr>
    </w:lvl>
    <w:lvl w:ilvl="1">
      <w:start w:val="4"/>
      <w:numFmt w:val="decimal"/>
      <w:isLgl/>
      <w:lvlText w:val="%1.%2."/>
      <w:lvlJc w:val="left"/>
      <w:pPr>
        <w:ind w:left="1608" w:hanging="540"/>
      </w:pPr>
      <w:rPr>
        <w:rFonts w:hint="default"/>
        <w:b/>
      </w:rPr>
    </w:lvl>
    <w:lvl w:ilvl="2">
      <w:start w:val="4"/>
      <w:numFmt w:val="decimal"/>
      <w:isLgl/>
      <w:lvlText w:val="%1.%2.%3."/>
      <w:lvlJc w:val="left"/>
      <w:pPr>
        <w:ind w:left="1788" w:hanging="720"/>
      </w:pPr>
      <w:rPr>
        <w:rFonts w:hint="default"/>
        <w:b/>
      </w:rPr>
    </w:lvl>
    <w:lvl w:ilvl="3">
      <w:start w:val="1"/>
      <w:numFmt w:val="decimal"/>
      <w:isLgl/>
      <w:lvlText w:val="%1.%2.%3.%4."/>
      <w:lvlJc w:val="left"/>
      <w:pPr>
        <w:ind w:left="1788" w:hanging="720"/>
      </w:pPr>
      <w:rPr>
        <w:rFonts w:hint="default"/>
        <w:b/>
      </w:rPr>
    </w:lvl>
    <w:lvl w:ilvl="4">
      <w:start w:val="1"/>
      <w:numFmt w:val="decimal"/>
      <w:isLgl/>
      <w:lvlText w:val="%1.%2.%3.%4.%5."/>
      <w:lvlJc w:val="left"/>
      <w:pPr>
        <w:ind w:left="2148"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508" w:hanging="1440"/>
      </w:pPr>
      <w:rPr>
        <w:rFonts w:hint="default"/>
        <w:b/>
      </w:rPr>
    </w:lvl>
    <w:lvl w:ilvl="7">
      <w:start w:val="1"/>
      <w:numFmt w:val="decimal"/>
      <w:isLgl/>
      <w:lvlText w:val="%1.%2.%3.%4.%5.%6.%7.%8."/>
      <w:lvlJc w:val="left"/>
      <w:pPr>
        <w:ind w:left="2508" w:hanging="1440"/>
      </w:pPr>
      <w:rPr>
        <w:rFonts w:hint="default"/>
        <w:b/>
      </w:rPr>
    </w:lvl>
    <w:lvl w:ilvl="8">
      <w:start w:val="1"/>
      <w:numFmt w:val="decimal"/>
      <w:isLgl/>
      <w:lvlText w:val="%1.%2.%3.%4.%5.%6.%7.%8.%9."/>
      <w:lvlJc w:val="left"/>
      <w:pPr>
        <w:ind w:left="2868" w:hanging="1800"/>
      </w:pPr>
      <w:rPr>
        <w:rFonts w:hint="default"/>
        <w:b/>
      </w:rPr>
    </w:lvl>
  </w:abstractNum>
  <w:abstractNum w:abstractNumId="64" w15:restartNumberingAfterBreak="0">
    <w:nsid w:val="724E7C6E"/>
    <w:multiLevelType w:val="hybridMultilevel"/>
    <w:tmpl w:val="9F4E16FA"/>
    <w:lvl w:ilvl="0" w:tplc="CF520854">
      <w:start w:val="1"/>
      <w:numFmt w:val="bullet"/>
      <w:lvlText w:val="•"/>
      <w:lvlJc w:val="left"/>
      <w:pPr>
        <w:tabs>
          <w:tab w:val="num" w:pos="720"/>
        </w:tabs>
        <w:ind w:left="720" w:hanging="360"/>
      </w:pPr>
      <w:rPr>
        <w:rFonts w:ascii="Arial" w:hAnsi="Arial" w:hint="default"/>
      </w:rPr>
    </w:lvl>
    <w:lvl w:ilvl="1" w:tplc="D3948BDC" w:tentative="1">
      <w:start w:val="1"/>
      <w:numFmt w:val="bullet"/>
      <w:lvlText w:val="•"/>
      <w:lvlJc w:val="left"/>
      <w:pPr>
        <w:tabs>
          <w:tab w:val="num" w:pos="1440"/>
        </w:tabs>
        <w:ind w:left="1440" w:hanging="360"/>
      </w:pPr>
      <w:rPr>
        <w:rFonts w:ascii="Arial" w:hAnsi="Arial" w:hint="default"/>
      </w:rPr>
    </w:lvl>
    <w:lvl w:ilvl="2" w:tplc="1D8A7A82" w:tentative="1">
      <w:start w:val="1"/>
      <w:numFmt w:val="bullet"/>
      <w:lvlText w:val="•"/>
      <w:lvlJc w:val="left"/>
      <w:pPr>
        <w:tabs>
          <w:tab w:val="num" w:pos="2160"/>
        </w:tabs>
        <w:ind w:left="2160" w:hanging="360"/>
      </w:pPr>
      <w:rPr>
        <w:rFonts w:ascii="Arial" w:hAnsi="Arial" w:hint="default"/>
      </w:rPr>
    </w:lvl>
    <w:lvl w:ilvl="3" w:tplc="5BE84EBE" w:tentative="1">
      <w:start w:val="1"/>
      <w:numFmt w:val="bullet"/>
      <w:lvlText w:val="•"/>
      <w:lvlJc w:val="left"/>
      <w:pPr>
        <w:tabs>
          <w:tab w:val="num" w:pos="2880"/>
        </w:tabs>
        <w:ind w:left="2880" w:hanging="360"/>
      </w:pPr>
      <w:rPr>
        <w:rFonts w:ascii="Arial" w:hAnsi="Arial" w:hint="default"/>
      </w:rPr>
    </w:lvl>
    <w:lvl w:ilvl="4" w:tplc="58F2B284" w:tentative="1">
      <w:start w:val="1"/>
      <w:numFmt w:val="bullet"/>
      <w:lvlText w:val="•"/>
      <w:lvlJc w:val="left"/>
      <w:pPr>
        <w:tabs>
          <w:tab w:val="num" w:pos="3600"/>
        </w:tabs>
        <w:ind w:left="3600" w:hanging="360"/>
      </w:pPr>
      <w:rPr>
        <w:rFonts w:ascii="Arial" w:hAnsi="Arial" w:hint="default"/>
      </w:rPr>
    </w:lvl>
    <w:lvl w:ilvl="5" w:tplc="FB24246E" w:tentative="1">
      <w:start w:val="1"/>
      <w:numFmt w:val="bullet"/>
      <w:lvlText w:val="•"/>
      <w:lvlJc w:val="left"/>
      <w:pPr>
        <w:tabs>
          <w:tab w:val="num" w:pos="4320"/>
        </w:tabs>
        <w:ind w:left="4320" w:hanging="360"/>
      </w:pPr>
      <w:rPr>
        <w:rFonts w:ascii="Arial" w:hAnsi="Arial" w:hint="default"/>
      </w:rPr>
    </w:lvl>
    <w:lvl w:ilvl="6" w:tplc="EC38A784" w:tentative="1">
      <w:start w:val="1"/>
      <w:numFmt w:val="bullet"/>
      <w:lvlText w:val="•"/>
      <w:lvlJc w:val="left"/>
      <w:pPr>
        <w:tabs>
          <w:tab w:val="num" w:pos="5040"/>
        </w:tabs>
        <w:ind w:left="5040" w:hanging="360"/>
      </w:pPr>
      <w:rPr>
        <w:rFonts w:ascii="Arial" w:hAnsi="Arial" w:hint="default"/>
      </w:rPr>
    </w:lvl>
    <w:lvl w:ilvl="7" w:tplc="1E46BBE8" w:tentative="1">
      <w:start w:val="1"/>
      <w:numFmt w:val="bullet"/>
      <w:lvlText w:val="•"/>
      <w:lvlJc w:val="left"/>
      <w:pPr>
        <w:tabs>
          <w:tab w:val="num" w:pos="5760"/>
        </w:tabs>
        <w:ind w:left="5760" w:hanging="360"/>
      </w:pPr>
      <w:rPr>
        <w:rFonts w:ascii="Arial" w:hAnsi="Arial" w:hint="default"/>
      </w:rPr>
    </w:lvl>
    <w:lvl w:ilvl="8" w:tplc="368AD85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37812B3"/>
    <w:multiLevelType w:val="hybridMultilevel"/>
    <w:tmpl w:val="BC7C90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15:restartNumberingAfterBreak="0">
    <w:nsid w:val="741E7E41"/>
    <w:multiLevelType w:val="hybridMultilevel"/>
    <w:tmpl w:val="987E87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78D43A4C"/>
    <w:multiLevelType w:val="hybridMultilevel"/>
    <w:tmpl w:val="6E1C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9144B51"/>
    <w:multiLevelType w:val="hybridMultilevel"/>
    <w:tmpl w:val="7B0292C0"/>
    <w:lvl w:ilvl="0" w:tplc="308AA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B59520A"/>
    <w:multiLevelType w:val="hybridMultilevel"/>
    <w:tmpl w:val="1D18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C93F83"/>
    <w:multiLevelType w:val="hybridMultilevel"/>
    <w:tmpl w:val="907C8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0245AD"/>
    <w:multiLevelType w:val="hybridMultilevel"/>
    <w:tmpl w:val="8EC6D5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286814814">
    <w:abstractNumId w:val="5"/>
  </w:num>
  <w:num w:numId="2" w16cid:durableId="1779835274">
    <w:abstractNumId w:val="52"/>
  </w:num>
  <w:num w:numId="3" w16cid:durableId="1362129892">
    <w:abstractNumId w:val="59"/>
  </w:num>
  <w:num w:numId="4" w16cid:durableId="1810902943">
    <w:abstractNumId w:val="51"/>
  </w:num>
  <w:num w:numId="5" w16cid:durableId="755325454">
    <w:abstractNumId w:val="33"/>
  </w:num>
  <w:num w:numId="6" w16cid:durableId="1984042608">
    <w:abstractNumId w:val="31"/>
  </w:num>
  <w:num w:numId="7" w16cid:durableId="741568261">
    <w:abstractNumId w:val="13"/>
  </w:num>
  <w:num w:numId="8" w16cid:durableId="938372715">
    <w:abstractNumId w:val="17"/>
  </w:num>
  <w:num w:numId="9" w16cid:durableId="40371963">
    <w:abstractNumId w:val="8"/>
  </w:num>
  <w:num w:numId="10" w16cid:durableId="248389751">
    <w:abstractNumId w:val="40"/>
  </w:num>
  <w:num w:numId="11" w16cid:durableId="1454254043">
    <w:abstractNumId w:val="14"/>
  </w:num>
  <w:num w:numId="12" w16cid:durableId="1106533592">
    <w:abstractNumId w:val="44"/>
  </w:num>
  <w:num w:numId="13" w16cid:durableId="1893694245">
    <w:abstractNumId w:val="39"/>
  </w:num>
  <w:num w:numId="14" w16cid:durableId="1696225154">
    <w:abstractNumId w:val="48"/>
  </w:num>
  <w:num w:numId="15" w16cid:durableId="333730812">
    <w:abstractNumId w:val="28"/>
  </w:num>
  <w:num w:numId="16" w16cid:durableId="978607674">
    <w:abstractNumId w:val="57"/>
  </w:num>
  <w:num w:numId="17" w16cid:durableId="1808357466">
    <w:abstractNumId w:val="42"/>
  </w:num>
  <w:num w:numId="18" w16cid:durableId="314990787">
    <w:abstractNumId w:val="35"/>
  </w:num>
  <w:num w:numId="19" w16cid:durableId="1379665331">
    <w:abstractNumId w:val="32"/>
  </w:num>
  <w:num w:numId="20" w16cid:durableId="280919236">
    <w:abstractNumId w:val="65"/>
  </w:num>
  <w:num w:numId="21" w16cid:durableId="2066753265">
    <w:abstractNumId w:val="1"/>
  </w:num>
  <w:num w:numId="22" w16cid:durableId="327171801">
    <w:abstractNumId w:val="63"/>
  </w:num>
  <w:num w:numId="23" w16cid:durableId="118181999">
    <w:abstractNumId w:val="36"/>
  </w:num>
  <w:num w:numId="24" w16cid:durableId="391541396">
    <w:abstractNumId w:val="71"/>
  </w:num>
  <w:num w:numId="25" w16cid:durableId="1552615986">
    <w:abstractNumId w:val="27"/>
  </w:num>
  <w:num w:numId="26" w16cid:durableId="114493746">
    <w:abstractNumId w:val="66"/>
  </w:num>
  <w:num w:numId="27" w16cid:durableId="723529759">
    <w:abstractNumId w:val="68"/>
  </w:num>
  <w:num w:numId="28" w16cid:durableId="1621644057">
    <w:abstractNumId w:val="25"/>
  </w:num>
  <w:num w:numId="29" w16cid:durableId="1380277170">
    <w:abstractNumId w:val="53"/>
  </w:num>
  <w:num w:numId="30" w16cid:durableId="1817720381">
    <w:abstractNumId w:val="6"/>
  </w:num>
  <w:num w:numId="31" w16cid:durableId="1070813957">
    <w:abstractNumId w:val="24"/>
  </w:num>
  <w:num w:numId="32" w16cid:durableId="1326324496">
    <w:abstractNumId w:val="45"/>
  </w:num>
  <w:num w:numId="33" w16cid:durableId="1336345074">
    <w:abstractNumId w:val="29"/>
  </w:num>
  <w:num w:numId="34" w16cid:durableId="1189642238">
    <w:abstractNumId w:val="43"/>
  </w:num>
  <w:num w:numId="35" w16cid:durableId="1705326348">
    <w:abstractNumId w:val="46"/>
  </w:num>
  <w:num w:numId="36" w16cid:durableId="1037051863">
    <w:abstractNumId w:val="37"/>
  </w:num>
  <w:num w:numId="37" w16cid:durableId="2013295175">
    <w:abstractNumId w:val="34"/>
  </w:num>
  <w:num w:numId="38" w16cid:durableId="1251817560">
    <w:abstractNumId w:val="16"/>
  </w:num>
  <w:num w:numId="39" w16cid:durableId="408356043">
    <w:abstractNumId w:val="7"/>
  </w:num>
  <w:num w:numId="40" w16cid:durableId="1814906055">
    <w:abstractNumId w:val="12"/>
  </w:num>
  <w:num w:numId="41" w16cid:durableId="265501059">
    <w:abstractNumId w:val="47"/>
  </w:num>
  <w:num w:numId="42" w16cid:durableId="487746627">
    <w:abstractNumId w:val="70"/>
  </w:num>
  <w:num w:numId="43" w16cid:durableId="1573657305">
    <w:abstractNumId w:val="4"/>
  </w:num>
  <w:num w:numId="44" w16cid:durableId="496921969">
    <w:abstractNumId w:val="19"/>
  </w:num>
  <w:num w:numId="45" w16cid:durableId="1471442551">
    <w:abstractNumId w:val="55"/>
  </w:num>
  <w:num w:numId="46" w16cid:durableId="260457480">
    <w:abstractNumId w:val="22"/>
  </w:num>
  <w:num w:numId="47" w16cid:durableId="29183779">
    <w:abstractNumId w:val="3"/>
  </w:num>
  <w:num w:numId="48" w16cid:durableId="831070619">
    <w:abstractNumId w:val="26"/>
  </w:num>
  <w:num w:numId="49" w16cid:durableId="1180854296">
    <w:abstractNumId w:val="9"/>
  </w:num>
  <w:num w:numId="50" w16cid:durableId="1669747196">
    <w:abstractNumId w:val="2"/>
  </w:num>
  <w:num w:numId="51" w16cid:durableId="1918318409">
    <w:abstractNumId w:val="69"/>
  </w:num>
  <w:num w:numId="52" w16cid:durableId="1328679140">
    <w:abstractNumId w:val="49"/>
  </w:num>
  <w:num w:numId="53" w16cid:durableId="2054384108">
    <w:abstractNumId w:val="50"/>
  </w:num>
  <w:num w:numId="54" w16cid:durableId="780077863">
    <w:abstractNumId w:val="54"/>
  </w:num>
  <w:num w:numId="55" w16cid:durableId="748620385">
    <w:abstractNumId w:val="30"/>
  </w:num>
  <w:num w:numId="56" w16cid:durableId="1327366622">
    <w:abstractNumId w:val="64"/>
  </w:num>
  <w:num w:numId="57" w16cid:durableId="406656778">
    <w:abstractNumId w:val="58"/>
  </w:num>
  <w:num w:numId="58" w16cid:durableId="228542363">
    <w:abstractNumId w:val="15"/>
  </w:num>
  <w:num w:numId="59" w16cid:durableId="955792087">
    <w:abstractNumId w:val="21"/>
  </w:num>
  <w:num w:numId="60" w16cid:durableId="1398362715">
    <w:abstractNumId w:val="20"/>
  </w:num>
  <w:num w:numId="61" w16cid:durableId="1420296358">
    <w:abstractNumId w:val="61"/>
  </w:num>
  <w:num w:numId="62" w16cid:durableId="1116828595">
    <w:abstractNumId w:val="67"/>
  </w:num>
  <w:num w:numId="63" w16cid:durableId="1401185">
    <w:abstractNumId w:val="11"/>
  </w:num>
  <w:num w:numId="64" w16cid:durableId="533805696">
    <w:abstractNumId w:val="62"/>
  </w:num>
  <w:num w:numId="65" w16cid:durableId="42023091">
    <w:abstractNumId w:val="23"/>
  </w:num>
  <w:num w:numId="66" w16cid:durableId="1258446650">
    <w:abstractNumId w:val="18"/>
  </w:num>
  <w:num w:numId="67" w16cid:durableId="450705499">
    <w:abstractNumId w:val="60"/>
  </w:num>
  <w:num w:numId="68" w16cid:durableId="1735347105">
    <w:abstractNumId w:val="0"/>
  </w:num>
  <w:num w:numId="69" w16cid:durableId="1393651093">
    <w:abstractNumId w:val="56"/>
  </w:num>
  <w:num w:numId="70" w16cid:durableId="1363246297">
    <w:abstractNumId w:val="41"/>
  </w:num>
  <w:num w:numId="71" w16cid:durableId="869731803">
    <w:abstractNumId w:val="38"/>
  </w:num>
  <w:num w:numId="72" w16cid:durableId="1592199836">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D"/>
    <w:rsid w:val="000000C1"/>
    <w:rsid w:val="00000270"/>
    <w:rsid w:val="00000920"/>
    <w:rsid w:val="00001F35"/>
    <w:rsid w:val="00003363"/>
    <w:rsid w:val="0000520D"/>
    <w:rsid w:val="00006CFA"/>
    <w:rsid w:val="0000746B"/>
    <w:rsid w:val="000102CF"/>
    <w:rsid w:val="00014FD8"/>
    <w:rsid w:val="00015241"/>
    <w:rsid w:val="0001787F"/>
    <w:rsid w:val="000204D2"/>
    <w:rsid w:val="00020F0D"/>
    <w:rsid w:val="000225B8"/>
    <w:rsid w:val="00023FFD"/>
    <w:rsid w:val="0002539D"/>
    <w:rsid w:val="0003136C"/>
    <w:rsid w:val="0003182B"/>
    <w:rsid w:val="00032771"/>
    <w:rsid w:val="0003418C"/>
    <w:rsid w:val="00036956"/>
    <w:rsid w:val="00036F1E"/>
    <w:rsid w:val="000405DA"/>
    <w:rsid w:val="0004155C"/>
    <w:rsid w:val="0004269E"/>
    <w:rsid w:val="00043AE2"/>
    <w:rsid w:val="00045BCC"/>
    <w:rsid w:val="00045EB9"/>
    <w:rsid w:val="00045FD5"/>
    <w:rsid w:val="000470E0"/>
    <w:rsid w:val="00047FA4"/>
    <w:rsid w:val="00050156"/>
    <w:rsid w:val="00050E4E"/>
    <w:rsid w:val="000523E4"/>
    <w:rsid w:val="00054948"/>
    <w:rsid w:val="00056F5A"/>
    <w:rsid w:val="00057120"/>
    <w:rsid w:val="00057B68"/>
    <w:rsid w:val="00060232"/>
    <w:rsid w:val="0006075F"/>
    <w:rsid w:val="000620CD"/>
    <w:rsid w:val="00063945"/>
    <w:rsid w:val="00064E41"/>
    <w:rsid w:val="00065671"/>
    <w:rsid w:val="0006598C"/>
    <w:rsid w:val="00066C1F"/>
    <w:rsid w:val="000671D8"/>
    <w:rsid w:val="0007072D"/>
    <w:rsid w:val="00070BC9"/>
    <w:rsid w:val="0007129A"/>
    <w:rsid w:val="00073945"/>
    <w:rsid w:val="00073BE0"/>
    <w:rsid w:val="00073C70"/>
    <w:rsid w:val="00074D10"/>
    <w:rsid w:val="000767B6"/>
    <w:rsid w:val="00076AC5"/>
    <w:rsid w:val="00076FF5"/>
    <w:rsid w:val="000778C8"/>
    <w:rsid w:val="00077F0D"/>
    <w:rsid w:val="00080F82"/>
    <w:rsid w:val="00081186"/>
    <w:rsid w:val="00083C32"/>
    <w:rsid w:val="00084F18"/>
    <w:rsid w:val="000859AD"/>
    <w:rsid w:val="00086EE8"/>
    <w:rsid w:val="000903F7"/>
    <w:rsid w:val="0009058A"/>
    <w:rsid w:val="00090B75"/>
    <w:rsid w:val="00090D7A"/>
    <w:rsid w:val="00093ED0"/>
    <w:rsid w:val="0009464E"/>
    <w:rsid w:val="00096AD3"/>
    <w:rsid w:val="00097E10"/>
    <w:rsid w:val="000A1264"/>
    <w:rsid w:val="000A1E95"/>
    <w:rsid w:val="000A32F4"/>
    <w:rsid w:val="000A62F5"/>
    <w:rsid w:val="000B1025"/>
    <w:rsid w:val="000B290A"/>
    <w:rsid w:val="000B31A3"/>
    <w:rsid w:val="000B42E8"/>
    <w:rsid w:val="000B60F3"/>
    <w:rsid w:val="000B6C5B"/>
    <w:rsid w:val="000B7D74"/>
    <w:rsid w:val="000C18AE"/>
    <w:rsid w:val="000C2456"/>
    <w:rsid w:val="000C2CB6"/>
    <w:rsid w:val="000C5AD9"/>
    <w:rsid w:val="000C75BC"/>
    <w:rsid w:val="000C7CD2"/>
    <w:rsid w:val="000D377B"/>
    <w:rsid w:val="000D7EA1"/>
    <w:rsid w:val="000E00FD"/>
    <w:rsid w:val="000E0886"/>
    <w:rsid w:val="000E11AA"/>
    <w:rsid w:val="000E21F3"/>
    <w:rsid w:val="000E2E90"/>
    <w:rsid w:val="000E45D7"/>
    <w:rsid w:val="000E54A3"/>
    <w:rsid w:val="000E5845"/>
    <w:rsid w:val="000E6058"/>
    <w:rsid w:val="000E641B"/>
    <w:rsid w:val="000E6A8E"/>
    <w:rsid w:val="000F189B"/>
    <w:rsid w:val="000F2178"/>
    <w:rsid w:val="000F22C3"/>
    <w:rsid w:val="000F269D"/>
    <w:rsid w:val="000F38AD"/>
    <w:rsid w:val="000F43C8"/>
    <w:rsid w:val="000F7EC5"/>
    <w:rsid w:val="001015A8"/>
    <w:rsid w:val="001025CF"/>
    <w:rsid w:val="00102B2F"/>
    <w:rsid w:val="001060E5"/>
    <w:rsid w:val="001069CC"/>
    <w:rsid w:val="00110B70"/>
    <w:rsid w:val="00113B05"/>
    <w:rsid w:val="0011451E"/>
    <w:rsid w:val="00114EB3"/>
    <w:rsid w:val="00120E63"/>
    <w:rsid w:val="00121B29"/>
    <w:rsid w:val="00121C81"/>
    <w:rsid w:val="00122064"/>
    <w:rsid w:val="00124706"/>
    <w:rsid w:val="0012479B"/>
    <w:rsid w:val="00127D21"/>
    <w:rsid w:val="0013051C"/>
    <w:rsid w:val="0013069A"/>
    <w:rsid w:val="00130B76"/>
    <w:rsid w:val="00131399"/>
    <w:rsid w:val="001314F1"/>
    <w:rsid w:val="00134CA6"/>
    <w:rsid w:val="001353F4"/>
    <w:rsid w:val="00135666"/>
    <w:rsid w:val="0013650C"/>
    <w:rsid w:val="00137A35"/>
    <w:rsid w:val="00137E9E"/>
    <w:rsid w:val="00140838"/>
    <w:rsid w:val="00141423"/>
    <w:rsid w:val="001415FE"/>
    <w:rsid w:val="00142F8B"/>
    <w:rsid w:val="00143394"/>
    <w:rsid w:val="00145CCA"/>
    <w:rsid w:val="001468D5"/>
    <w:rsid w:val="00147365"/>
    <w:rsid w:val="00147CE1"/>
    <w:rsid w:val="0015042E"/>
    <w:rsid w:val="00152260"/>
    <w:rsid w:val="00152DA5"/>
    <w:rsid w:val="00153D17"/>
    <w:rsid w:val="001548D5"/>
    <w:rsid w:val="00155319"/>
    <w:rsid w:val="0015671E"/>
    <w:rsid w:val="00157AC0"/>
    <w:rsid w:val="00157E81"/>
    <w:rsid w:val="00160914"/>
    <w:rsid w:val="001617EF"/>
    <w:rsid w:val="00161EF8"/>
    <w:rsid w:val="001636BE"/>
    <w:rsid w:val="00165103"/>
    <w:rsid w:val="001662C9"/>
    <w:rsid w:val="00166E1D"/>
    <w:rsid w:val="00170E9B"/>
    <w:rsid w:val="00170EDB"/>
    <w:rsid w:val="001711D0"/>
    <w:rsid w:val="001720C5"/>
    <w:rsid w:val="00172C60"/>
    <w:rsid w:val="00174D36"/>
    <w:rsid w:val="00175094"/>
    <w:rsid w:val="00176992"/>
    <w:rsid w:val="00180C3D"/>
    <w:rsid w:val="00181F77"/>
    <w:rsid w:val="00183502"/>
    <w:rsid w:val="0018431C"/>
    <w:rsid w:val="00185857"/>
    <w:rsid w:val="00185ADB"/>
    <w:rsid w:val="00185F13"/>
    <w:rsid w:val="00186969"/>
    <w:rsid w:val="001879F0"/>
    <w:rsid w:val="0019397B"/>
    <w:rsid w:val="0019584B"/>
    <w:rsid w:val="0019698C"/>
    <w:rsid w:val="00196CD1"/>
    <w:rsid w:val="00196DB2"/>
    <w:rsid w:val="00197166"/>
    <w:rsid w:val="001A0407"/>
    <w:rsid w:val="001A2273"/>
    <w:rsid w:val="001A5744"/>
    <w:rsid w:val="001A77FF"/>
    <w:rsid w:val="001B39C8"/>
    <w:rsid w:val="001B4F79"/>
    <w:rsid w:val="001B52F2"/>
    <w:rsid w:val="001B60E1"/>
    <w:rsid w:val="001B7F48"/>
    <w:rsid w:val="001C0222"/>
    <w:rsid w:val="001C0969"/>
    <w:rsid w:val="001C1250"/>
    <w:rsid w:val="001C1F02"/>
    <w:rsid w:val="001C209E"/>
    <w:rsid w:val="001C303D"/>
    <w:rsid w:val="001C3FFB"/>
    <w:rsid w:val="001D1845"/>
    <w:rsid w:val="001D1E46"/>
    <w:rsid w:val="001D22C8"/>
    <w:rsid w:val="001D2431"/>
    <w:rsid w:val="001D2A70"/>
    <w:rsid w:val="001D3DD6"/>
    <w:rsid w:val="001D633B"/>
    <w:rsid w:val="001D685F"/>
    <w:rsid w:val="001D73FB"/>
    <w:rsid w:val="001D7F12"/>
    <w:rsid w:val="001E3A07"/>
    <w:rsid w:val="001E41E0"/>
    <w:rsid w:val="001E5134"/>
    <w:rsid w:val="001E65D7"/>
    <w:rsid w:val="001F2884"/>
    <w:rsid w:val="001F2994"/>
    <w:rsid w:val="001F2FA6"/>
    <w:rsid w:val="001F31C1"/>
    <w:rsid w:val="001F3981"/>
    <w:rsid w:val="001F39AF"/>
    <w:rsid w:val="001F570F"/>
    <w:rsid w:val="001F5FB8"/>
    <w:rsid w:val="00200198"/>
    <w:rsid w:val="002024C6"/>
    <w:rsid w:val="002046F8"/>
    <w:rsid w:val="0020517F"/>
    <w:rsid w:val="0020555A"/>
    <w:rsid w:val="0020567C"/>
    <w:rsid w:val="0020594A"/>
    <w:rsid w:val="00205C55"/>
    <w:rsid w:val="00205D58"/>
    <w:rsid w:val="002063A4"/>
    <w:rsid w:val="00207413"/>
    <w:rsid w:val="00207A25"/>
    <w:rsid w:val="002102AA"/>
    <w:rsid w:val="00210878"/>
    <w:rsid w:val="00210E21"/>
    <w:rsid w:val="00213958"/>
    <w:rsid w:val="0021411C"/>
    <w:rsid w:val="00214634"/>
    <w:rsid w:val="0021473C"/>
    <w:rsid w:val="00214EDA"/>
    <w:rsid w:val="00221B48"/>
    <w:rsid w:val="00222500"/>
    <w:rsid w:val="00224A58"/>
    <w:rsid w:val="0022555C"/>
    <w:rsid w:val="002256ED"/>
    <w:rsid w:val="00225A15"/>
    <w:rsid w:val="00230753"/>
    <w:rsid w:val="00231F89"/>
    <w:rsid w:val="002342E6"/>
    <w:rsid w:val="002345C6"/>
    <w:rsid w:val="002362F0"/>
    <w:rsid w:val="00236413"/>
    <w:rsid w:val="00240B10"/>
    <w:rsid w:val="002410E5"/>
    <w:rsid w:val="00242B3F"/>
    <w:rsid w:val="0024305A"/>
    <w:rsid w:val="00243677"/>
    <w:rsid w:val="002447B8"/>
    <w:rsid w:val="00246731"/>
    <w:rsid w:val="00247330"/>
    <w:rsid w:val="002478F6"/>
    <w:rsid w:val="0025278E"/>
    <w:rsid w:val="00253586"/>
    <w:rsid w:val="002539E1"/>
    <w:rsid w:val="0025548E"/>
    <w:rsid w:val="00255622"/>
    <w:rsid w:val="002616EC"/>
    <w:rsid w:val="00263C15"/>
    <w:rsid w:val="002657A8"/>
    <w:rsid w:val="00271AA8"/>
    <w:rsid w:val="00272B58"/>
    <w:rsid w:val="00273C0F"/>
    <w:rsid w:val="00277563"/>
    <w:rsid w:val="00283037"/>
    <w:rsid w:val="00286F0D"/>
    <w:rsid w:val="002879ED"/>
    <w:rsid w:val="00290755"/>
    <w:rsid w:val="0029118A"/>
    <w:rsid w:val="002937D0"/>
    <w:rsid w:val="00296590"/>
    <w:rsid w:val="002A00A2"/>
    <w:rsid w:val="002A211E"/>
    <w:rsid w:val="002A306E"/>
    <w:rsid w:val="002A36FC"/>
    <w:rsid w:val="002A426B"/>
    <w:rsid w:val="002A4739"/>
    <w:rsid w:val="002A700F"/>
    <w:rsid w:val="002B310F"/>
    <w:rsid w:val="002B3D30"/>
    <w:rsid w:val="002B58AA"/>
    <w:rsid w:val="002B6852"/>
    <w:rsid w:val="002B6B71"/>
    <w:rsid w:val="002B736C"/>
    <w:rsid w:val="002C17BB"/>
    <w:rsid w:val="002C1832"/>
    <w:rsid w:val="002C4A89"/>
    <w:rsid w:val="002C5ADA"/>
    <w:rsid w:val="002C60CB"/>
    <w:rsid w:val="002C6A5A"/>
    <w:rsid w:val="002C6D77"/>
    <w:rsid w:val="002C79E8"/>
    <w:rsid w:val="002D1B9B"/>
    <w:rsid w:val="002D3476"/>
    <w:rsid w:val="002D6547"/>
    <w:rsid w:val="002D6DDC"/>
    <w:rsid w:val="002D7095"/>
    <w:rsid w:val="002E01DF"/>
    <w:rsid w:val="002E1B55"/>
    <w:rsid w:val="002E276C"/>
    <w:rsid w:val="002E2C4F"/>
    <w:rsid w:val="002E413B"/>
    <w:rsid w:val="002F1A02"/>
    <w:rsid w:val="002F319C"/>
    <w:rsid w:val="002F5C41"/>
    <w:rsid w:val="002F5F12"/>
    <w:rsid w:val="002F6B4B"/>
    <w:rsid w:val="00301DEA"/>
    <w:rsid w:val="00301F97"/>
    <w:rsid w:val="0030237E"/>
    <w:rsid w:val="00302764"/>
    <w:rsid w:val="00305E0E"/>
    <w:rsid w:val="00305E93"/>
    <w:rsid w:val="00306C80"/>
    <w:rsid w:val="00307224"/>
    <w:rsid w:val="0030749D"/>
    <w:rsid w:val="00311B9B"/>
    <w:rsid w:val="0031284D"/>
    <w:rsid w:val="00313BAC"/>
    <w:rsid w:val="00317312"/>
    <w:rsid w:val="00320BAB"/>
    <w:rsid w:val="00320EB8"/>
    <w:rsid w:val="00321D02"/>
    <w:rsid w:val="00322180"/>
    <w:rsid w:val="00323678"/>
    <w:rsid w:val="00324E39"/>
    <w:rsid w:val="00325A6A"/>
    <w:rsid w:val="00326EC0"/>
    <w:rsid w:val="0033148C"/>
    <w:rsid w:val="00331651"/>
    <w:rsid w:val="0033235C"/>
    <w:rsid w:val="003333A7"/>
    <w:rsid w:val="00334178"/>
    <w:rsid w:val="003348B5"/>
    <w:rsid w:val="00334C9E"/>
    <w:rsid w:val="00335238"/>
    <w:rsid w:val="0033625B"/>
    <w:rsid w:val="00336A96"/>
    <w:rsid w:val="00340084"/>
    <w:rsid w:val="003405CF"/>
    <w:rsid w:val="00344F56"/>
    <w:rsid w:val="00345F12"/>
    <w:rsid w:val="003500FD"/>
    <w:rsid w:val="00351005"/>
    <w:rsid w:val="00351093"/>
    <w:rsid w:val="003514CE"/>
    <w:rsid w:val="00351EA9"/>
    <w:rsid w:val="00354113"/>
    <w:rsid w:val="00355529"/>
    <w:rsid w:val="0036010B"/>
    <w:rsid w:val="00360133"/>
    <w:rsid w:val="00361AB7"/>
    <w:rsid w:val="00363706"/>
    <w:rsid w:val="00364DF6"/>
    <w:rsid w:val="00364DFA"/>
    <w:rsid w:val="00364FC7"/>
    <w:rsid w:val="003652C5"/>
    <w:rsid w:val="003657CA"/>
    <w:rsid w:val="00365BDD"/>
    <w:rsid w:val="00365CBA"/>
    <w:rsid w:val="003664CA"/>
    <w:rsid w:val="0037089D"/>
    <w:rsid w:val="00372F72"/>
    <w:rsid w:val="003734F0"/>
    <w:rsid w:val="00373BDB"/>
    <w:rsid w:val="00374387"/>
    <w:rsid w:val="0037515C"/>
    <w:rsid w:val="00375970"/>
    <w:rsid w:val="00375BED"/>
    <w:rsid w:val="00375C4E"/>
    <w:rsid w:val="00375FEA"/>
    <w:rsid w:val="00376841"/>
    <w:rsid w:val="0037765D"/>
    <w:rsid w:val="00377A17"/>
    <w:rsid w:val="0038069C"/>
    <w:rsid w:val="0038125F"/>
    <w:rsid w:val="00381405"/>
    <w:rsid w:val="00382541"/>
    <w:rsid w:val="003829AE"/>
    <w:rsid w:val="0038308E"/>
    <w:rsid w:val="00383BB7"/>
    <w:rsid w:val="003859D5"/>
    <w:rsid w:val="00386594"/>
    <w:rsid w:val="00387E61"/>
    <w:rsid w:val="00387EE5"/>
    <w:rsid w:val="00391786"/>
    <w:rsid w:val="00393281"/>
    <w:rsid w:val="003935A6"/>
    <w:rsid w:val="003959A1"/>
    <w:rsid w:val="003A0F50"/>
    <w:rsid w:val="003A24A6"/>
    <w:rsid w:val="003A3314"/>
    <w:rsid w:val="003A3B61"/>
    <w:rsid w:val="003A45DF"/>
    <w:rsid w:val="003A4CD9"/>
    <w:rsid w:val="003B01AE"/>
    <w:rsid w:val="003B12FC"/>
    <w:rsid w:val="003B17B8"/>
    <w:rsid w:val="003B1B1A"/>
    <w:rsid w:val="003B2F67"/>
    <w:rsid w:val="003B3F98"/>
    <w:rsid w:val="003B5477"/>
    <w:rsid w:val="003B5623"/>
    <w:rsid w:val="003C0AB7"/>
    <w:rsid w:val="003C1DA1"/>
    <w:rsid w:val="003C2064"/>
    <w:rsid w:val="003C298B"/>
    <w:rsid w:val="003C3440"/>
    <w:rsid w:val="003C379B"/>
    <w:rsid w:val="003C5507"/>
    <w:rsid w:val="003C6483"/>
    <w:rsid w:val="003C6C20"/>
    <w:rsid w:val="003C7666"/>
    <w:rsid w:val="003D00F3"/>
    <w:rsid w:val="003D07D6"/>
    <w:rsid w:val="003D1326"/>
    <w:rsid w:val="003D1C6D"/>
    <w:rsid w:val="003D2ADE"/>
    <w:rsid w:val="003D2B07"/>
    <w:rsid w:val="003D3F8E"/>
    <w:rsid w:val="003D4A8E"/>
    <w:rsid w:val="003D5A53"/>
    <w:rsid w:val="003D6554"/>
    <w:rsid w:val="003E30AF"/>
    <w:rsid w:val="003E326C"/>
    <w:rsid w:val="003E54D6"/>
    <w:rsid w:val="003E5E98"/>
    <w:rsid w:val="003E65B6"/>
    <w:rsid w:val="003E6B60"/>
    <w:rsid w:val="003E6F70"/>
    <w:rsid w:val="003F0DC7"/>
    <w:rsid w:val="003F14EC"/>
    <w:rsid w:val="003F188F"/>
    <w:rsid w:val="003F285D"/>
    <w:rsid w:val="003F2DDE"/>
    <w:rsid w:val="003F3F7C"/>
    <w:rsid w:val="003F7EAD"/>
    <w:rsid w:val="00400DC8"/>
    <w:rsid w:val="004038FA"/>
    <w:rsid w:val="00403F39"/>
    <w:rsid w:val="0040482C"/>
    <w:rsid w:val="00404FA5"/>
    <w:rsid w:val="00405276"/>
    <w:rsid w:val="00406DE4"/>
    <w:rsid w:val="0040753A"/>
    <w:rsid w:val="00410371"/>
    <w:rsid w:val="00411A07"/>
    <w:rsid w:val="00412195"/>
    <w:rsid w:val="00413FCF"/>
    <w:rsid w:val="0041449F"/>
    <w:rsid w:val="00414569"/>
    <w:rsid w:val="004147B6"/>
    <w:rsid w:val="0041499F"/>
    <w:rsid w:val="00414E32"/>
    <w:rsid w:val="00414F71"/>
    <w:rsid w:val="0041545D"/>
    <w:rsid w:val="00415779"/>
    <w:rsid w:val="00415D20"/>
    <w:rsid w:val="00415FDB"/>
    <w:rsid w:val="0042040F"/>
    <w:rsid w:val="00421ABC"/>
    <w:rsid w:val="004224AF"/>
    <w:rsid w:val="0042309B"/>
    <w:rsid w:val="004236BE"/>
    <w:rsid w:val="0042382F"/>
    <w:rsid w:val="00423F15"/>
    <w:rsid w:val="00431C7B"/>
    <w:rsid w:val="004332A3"/>
    <w:rsid w:val="00433A97"/>
    <w:rsid w:val="004351E6"/>
    <w:rsid w:val="0043668A"/>
    <w:rsid w:val="00436894"/>
    <w:rsid w:val="0043695B"/>
    <w:rsid w:val="004370D4"/>
    <w:rsid w:val="0044096B"/>
    <w:rsid w:val="00440A2B"/>
    <w:rsid w:val="004447FE"/>
    <w:rsid w:val="00445037"/>
    <w:rsid w:val="0044705D"/>
    <w:rsid w:val="0044733A"/>
    <w:rsid w:val="0045015D"/>
    <w:rsid w:val="004515DC"/>
    <w:rsid w:val="00451600"/>
    <w:rsid w:val="004546D0"/>
    <w:rsid w:val="00454780"/>
    <w:rsid w:val="0045779B"/>
    <w:rsid w:val="00457E2C"/>
    <w:rsid w:val="00461666"/>
    <w:rsid w:val="00463A48"/>
    <w:rsid w:val="00464AA1"/>
    <w:rsid w:val="004664CD"/>
    <w:rsid w:val="00467B79"/>
    <w:rsid w:val="00467C1F"/>
    <w:rsid w:val="004715AA"/>
    <w:rsid w:val="00472D98"/>
    <w:rsid w:val="00474383"/>
    <w:rsid w:val="004752C8"/>
    <w:rsid w:val="00475F6A"/>
    <w:rsid w:val="00480393"/>
    <w:rsid w:val="004803DF"/>
    <w:rsid w:val="00483680"/>
    <w:rsid w:val="00485D32"/>
    <w:rsid w:val="00487947"/>
    <w:rsid w:val="00487A75"/>
    <w:rsid w:val="00490005"/>
    <w:rsid w:val="00491328"/>
    <w:rsid w:val="00492B8D"/>
    <w:rsid w:val="004940BF"/>
    <w:rsid w:val="004957D2"/>
    <w:rsid w:val="00497C45"/>
    <w:rsid w:val="004A0A35"/>
    <w:rsid w:val="004A20A8"/>
    <w:rsid w:val="004A3457"/>
    <w:rsid w:val="004A40C8"/>
    <w:rsid w:val="004A718B"/>
    <w:rsid w:val="004B0AD1"/>
    <w:rsid w:val="004B4CCF"/>
    <w:rsid w:val="004B5CF6"/>
    <w:rsid w:val="004C21F3"/>
    <w:rsid w:val="004C34F5"/>
    <w:rsid w:val="004C3662"/>
    <w:rsid w:val="004C42B8"/>
    <w:rsid w:val="004C475A"/>
    <w:rsid w:val="004C4BAA"/>
    <w:rsid w:val="004C56C4"/>
    <w:rsid w:val="004C66C5"/>
    <w:rsid w:val="004D0DCD"/>
    <w:rsid w:val="004D11C6"/>
    <w:rsid w:val="004D2BEB"/>
    <w:rsid w:val="004D3A03"/>
    <w:rsid w:val="004D4A9C"/>
    <w:rsid w:val="004D797B"/>
    <w:rsid w:val="004E0F09"/>
    <w:rsid w:val="004E1342"/>
    <w:rsid w:val="004E20E1"/>
    <w:rsid w:val="004E2DE1"/>
    <w:rsid w:val="004E44F0"/>
    <w:rsid w:val="004E4FFF"/>
    <w:rsid w:val="004E6251"/>
    <w:rsid w:val="004E6418"/>
    <w:rsid w:val="004E6466"/>
    <w:rsid w:val="004E6804"/>
    <w:rsid w:val="004F0539"/>
    <w:rsid w:val="004F1003"/>
    <w:rsid w:val="004F190B"/>
    <w:rsid w:val="004F1BCA"/>
    <w:rsid w:val="004F1EFA"/>
    <w:rsid w:val="004F227D"/>
    <w:rsid w:val="004F521A"/>
    <w:rsid w:val="004F55CB"/>
    <w:rsid w:val="004F759A"/>
    <w:rsid w:val="004F780C"/>
    <w:rsid w:val="00500B55"/>
    <w:rsid w:val="00501B61"/>
    <w:rsid w:val="00502711"/>
    <w:rsid w:val="005029B0"/>
    <w:rsid w:val="00502F34"/>
    <w:rsid w:val="00503592"/>
    <w:rsid w:val="0050365E"/>
    <w:rsid w:val="00505077"/>
    <w:rsid w:val="005050E4"/>
    <w:rsid w:val="00505343"/>
    <w:rsid w:val="0050593D"/>
    <w:rsid w:val="00506227"/>
    <w:rsid w:val="005064CF"/>
    <w:rsid w:val="0050757B"/>
    <w:rsid w:val="00507A93"/>
    <w:rsid w:val="00507D88"/>
    <w:rsid w:val="0051015D"/>
    <w:rsid w:val="00510186"/>
    <w:rsid w:val="00510356"/>
    <w:rsid w:val="00510618"/>
    <w:rsid w:val="0051113F"/>
    <w:rsid w:val="005130E3"/>
    <w:rsid w:val="00513D4A"/>
    <w:rsid w:val="00513DA4"/>
    <w:rsid w:val="005150C1"/>
    <w:rsid w:val="00516CD2"/>
    <w:rsid w:val="0052060A"/>
    <w:rsid w:val="0052095B"/>
    <w:rsid w:val="00521800"/>
    <w:rsid w:val="00522509"/>
    <w:rsid w:val="00522E6A"/>
    <w:rsid w:val="0052388B"/>
    <w:rsid w:val="00526253"/>
    <w:rsid w:val="00530615"/>
    <w:rsid w:val="00534818"/>
    <w:rsid w:val="00535248"/>
    <w:rsid w:val="00535DF7"/>
    <w:rsid w:val="00541D6B"/>
    <w:rsid w:val="00551DD7"/>
    <w:rsid w:val="00552C16"/>
    <w:rsid w:val="005530E3"/>
    <w:rsid w:val="005545ED"/>
    <w:rsid w:val="0055586A"/>
    <w:rsid w:val="00557521"/>
    <w:rsid w:val="00557BBC"/>
    <w:rsid w:val="00557F63"/>
    <w:rsid w:val="00560576"/>
    <w:rsid w:val="00560771"/>
    <w:rsid w:val="0056129A"/>
    <w:rsid w:val="00561ADE"/>
    <w:rsid w:val="00564359"/>
    <w:rsid w:val="00565B56"/>
    <w:rsid w:val="00565BF4"/>
    <w:rsid w:val="00567D53"/>
    <w:rsid w:val="00567F1C"/>
    <w:rsid w:val="00572234"/>
    <w:rsid w:val="00572B9D"/>
    <w:rsid w:val="00573B0E"/>
    <w:rsid w:val="00574F56"/>
    <w:rsid w:val="00575F53"/>
    <w:rsid w:val="0057668C"/>
    <w:rsid w:val="00576CCB"/>
    <w:rsid w:val="00576FD5"/>
    <w:rsid w:val="0057722E"/>
    <w:rsid w:val="00577354"/>
    <w:rsid w:val="0058036D"/>
    <w:rsid w:val="00580893"/>
    <w:rsid w:val="0058256B"/>
    <w:rsid w:val="00583796"/>
    <w:rsid w:val="00583F64"/>
    <w:rsid w:val="00584703"/>
    <w:rsid w:val="00584C1D"/>
    <w:rsid w:val="0058645A"/>
    <w:rsid w:val="0058692C"/>
    <w:rsid w:val="00586C70"/>
    <w:rsid w:val="005876A2"/>
    <w:rsid w:val="00590388"/>
    <w:rsid w:val="0059083B"/>
    <w:rsid w:val="00590EFA"/>
    <w:rsid w:val="00592965"/>
    <w:rsid w:val="0059333F"/>
    <w:rsid w:val="0059489E"/>
    <w:rsid w:val="0059505B"/>
    <w:rsid w:val="00595C26"/>
    <w:rsid w:val="00597D86"/>
    <w:rsid w:val="005A0F65"/>
    <w:rsid w:val="005A2887"/>
    <w:rsid w:val="005A32D6"/>
    <w:rsid w:val="005A3640"/>
    <w:rsid w:val="005A49AC"/>
    <w:rsid w:val="005A4C2F"/>
    <w:rsid w:val="005A5410"/>
    <w:rsid w:val="005A5AD5"/>
    <w:rsid w:val="005A5BDE"/>
    <w:rsid w:val="005A72C6"/>
    <w:rsid w:val="005A73F0"/>
    <w:rsid w:val="005A7E69"/>
    <w:rsid w:val="005B301E"/>
    <w:rsid w:val="005B4798"/>
    <w:rsid w:val="005B4827"/>
    <w:rsid w:val="005B49DF"/>
    <w:rsid w:val="005B6E6B"/>
    <w:rsid w:val="005C1100"/>
    <w:rsid w:val="005C7573"/>
    <w:rsid w:val="005D1DD8"/>
    <w:rsid w:val="005D1F64"/>
    <w:rsid w:val="005D2D85"/>
    <w:rsid w:val="005D3D4B"/>
    <w:rsid w:val="005D42FE"/>
    <w:rsid w:val="005D7E9E"/>
    <w:rsid w:val="005E1038"/>
    <w:rsid w:val="005E4F1F"/>
    <w:rsid w:val="005E55F9"/>
    <w:rsid w:val="005E580C"/>
    <w:rsid w:val="005E5E00"/>
    <w:rsid w:val="005E703B"/>
    <w:rsid w:val="005F4C57"/>
    <w:rsid w:val="005F5306"/>
    <w:rsid w:val="005F664A"/>
    <w:rsid w:val="0060050A"/>
    <w:rsid w:val="00603084"/>
    <w:rsid w:val="00604D55"/>
    <w:rsid w:val="00604EF8"/>
    <w:rsid w:val="00605BFA"/>
    <w:rsid w:val="00605D58"/>
    <w:rsid w:val="00606B58"/>
    <w:rsid w:val="006111F3"/>
    <w:rsid w:val="00611481"/>
    <w:rsid w:val="00612D19"/>
    <w:rsid w:val="00614CCC"/>
    <w:rsid w:val="00615788"/>
    <w:rsid w:val="00615E25"/>
    <w:rsid w:val="0061621C"/>
    <w:rsid w:val="00616425"/>
    <w:rsid w:val="00616A50"/>
    <w:rsid w:val="00616CFA"/>
    <w:rsid w:val="00620150"/>
    <w:rsid w:val="0062114B"/>
    <w:rsid w:val="006224D1"/>
    <w:rsid w:val="00622A42"/>
    <w:rsid w:val="006231CF"/>
    <w:rsid w:val="00624D61"/>
    <w:rsid w:val="00625D93"/>
    <w:rsid w:val="006264AA"/>
    <w:rsid w:val="006267E2"/>
    <w:rsid w:val="00627135"/>
    <w:rsid w:val="00627922"/>
    <w:rsid w:val="00630148"/>
    <w:rsid w:val="0063148E"/>
    <w:rsid w:val="006321D8"/>
    <w:rsid w:val="00632577"/>
    <w:rsid w:val="00633566"/>
    <w:rsid w:val="00633F35"/>
    <w:rsid w:val="00634263"/>
    <w:rsid w:val="00637335"/>
    <w:rsid w:val="0064043E"/>
    <w:rsid w:val="0064049A"/>
    <w:rsid w:val="00643195"/>
    <w:rsid w:val="00643AB7"/>
    <w:rsid w:val="00646AD0"/>
    <w:rsid w:val="00647025"/>
    <w:rsid w:val="00647FEB"/>
    <w:rsid w:val="00650256"/>
    <w:rsid w:val="00655356"/>
    <w:rsid w:val="006565D4"/>
    <w:rsid w:val="00660737"/>
    <w:rsid w:val="0066143A"/>
    <w:rsid w:val="006619D4"/>
    <w:rsid w:val="006629D4"/>
    <w:rsid w:val="00662EF9"/>
    <w:rsid w:val="006635B7"/>
    <w:rsid w:val="00663705"/>
    <w:rsid w:val="00663855"/>
    <w:rsid w:val="00663BC3"/>
    <w:rsid w:val="006712C5"/>
    <w:rsid w:val="00673F3F"/>
    <w:rsid w:val="00674DBB"/>
    <w:rsid w:val="00675190"/>
    <w:rsid w:val="00676211"/>
    <w:rsid w:val="00676ACD"/>
    <w:rsid w:val="0067720A"/>
    <w:rsid w:val="006779FC"/>
    <w:rsid w:val="00681114"/>
    <w:rsid w:val="0068116A"/>
    <w:rsid w:val="006822EF"/>
    <w:rsid w:val="0068648C"/>
    <w:rsid w:val="00686FAF"/>
    <w:rsid w:val="00687FD4"/>
    <w:rsid w:val="00690559"/>
    <w:rsid w:val="00693AB8"/>
    <w:rsid w:val="006953CE"/>
    <w:rsid w:val="0069722A"/>
    <w:rsid w:val="006A151A"/>
    <w:rsid w:val="006A257A"/>
    <w:rsid w:val="006A3FDB"/>
    <w:rsid w:val="006A6C92"/>
    <w:rsid w:val="006A6E66"/>
    <w:rsid w:val="006B19EF"/>
    <w:rsid w:val="006B1C47"/>
    <w:rsid w:val="006B2923"/>
    <w:rsid w:val="006B30E2"/>
    <w:rsid w:val="006B410C"/>
    <w:rsid w:val="006B45D2"/>
    <w:rsid w:val="006B5189"/>
    <w:rsid w:val="006B68E5"/>
    <w:rsid w:val="006B7405"/>
    <w:rsid w:val="006C2EF8"/>
    <w:rsid w:val="006C4C44"/>
    <w:rsid w:val="006C56B6"/>
    <w:rsid w:val="006C6248"/>
    <w:rsid w:val="006C6A28"/>
    <w:rsid w:val="006C76FB"/>
    <w:rsid w:val="006C7B6B"/>
    <w:rsid w:val="006D38CB"/>
    <w:rsid w:val="006D5309"/>
    <w:rsid w:val="006D6010"/>
    <w:rsid w:val="006D76CD"/>
    <w:rsid w:val="006E2724"/>
    <w:rsid w:val="006E404B"/>
    <w:rsid w:val="006E4910"/>
    <w:rsid w:val="006E572D"/>
    <w:rsid w:val="006E7F69"/>
    <w:rsid w:val="006F01F5"/>
    <w:rsid w:val="006F21A4"/>
    <w:rsid w:val="006F48A9"/>
    <w:rsid w:val="006F544B"/>
    <w:rsid w:val="006F5AA9"/>
    <w:rsid w:val="0070029A"/>
    <w:rsid w:val="007004D0"/>
    <w:rsid w:val="00701C95"/>
    <w:rsid w:val="00703E06"/>
    <w:rsid w:val="00704892"/>
    <w:rsid w:val="007054F1"/>
    <w:rsid w:val="007055E8"/>
    <w:rsid w:val="007058C1"/>
    <w:rsid w:val="00705F2D"/>
    <w:rsid w:val="0070707B"/>
    <w:rsid w:val="007074BB"/>
    <w:rsid w:val="007076AF"/>
    <w:rsid w:val="0071067D"/>
    <w:rsid w:val="00710B96"/>
    <w:rsid w:val="00710DB1"/>
    <w:rsid w:val="00710ED1"/>
    <w:rsid w:val="00713CD0"/>
    <w:rsid w:val="007163A1"/>
    <w:rsid w:val="00716AFD"/>
    <w:rsid w:val="00716F17"/>
    <w:rsid w:val="007202FF"/>
    <w:rsid w:val="00720318"/>
    <w:rsid w:val="00720CAE"/>
    <w:rsid w:val="007229F9"/>
    <w:rsid w:val="00724D24"/>
    <w:rsid w:val="00726954"/>
    <w:rsid w:val="007270EA"/>
    <w:rsid w:val="00727585"/>
    <w:rsid w:val="007323F4"/>
    <w:rsid w:val="007355C3"/>
    <w:rsid w:val="00735672"/>
    <w:rsid w:val="00735BE7"/>
    <w:rsid w:val="0073762A"/>
    <w:rsid w:val="00737660"/>
    <w:rsid w:val="00737915"/>
    <w:rsid w:val="00737FF2"/>
    <w:rsid w:val="007409DB"/>
    <w:rsid w:val="00742880"/>
    <w:rsid w:val="00743566"/>
    <w:rsid w:val="0074797F"/>
    <w:rsid w:val="00751693"/>
    <w:rsid w:val="00751FAB"/>
    <w:rsid w:val="007522F2"/>
    <w:rsid w:val="00753263"/>
    <w:rsid w:val="00753911"/>
    <w:rsid w:val="00753936"/>
    <w:rsid w:val="00753F2C"/>
    <w:rsid w:val="007540C6"/>
    <w:rsid w:val="0075508C"/>
    <w:rsid w:val="007551E0"/>
    <w:rsid w:val="00756363"/>
    <w:rsid w:val="007630EC"/>
    <w:rsid w:val="0076340E"/>
    <w:rsid w:val="007649EF"/>
    <w:rsid w:val="007700AD"/>
    <w:rsid w:val="007729A8"/>
    <w:rsid w:val="00773A6A"/>
    <w:rsid w:val="007763E4"/>
    <w:rsid w:val="00777D10"/>
    <w:rsid w:val="00780D89"/>
    <w:rsid w:val="007813D9"/>
    <w:rsid w:val="007821A8"/>
    <w:rsid w:val="007829A0"/>
    <w:rsid w:val="00782B5F"/>
    <w:rsid w:val="007841EC"/>
    <w:rsid w:val="00784375"/>
    <w:rsid w:val="007846B0"/>
    <w:rsid w:val="00786609"/>
    <w:rsid w:val="00787E8E"/>
    <w:rsid w:val="00790694"/>
    <w:rsid w:val="00790C3E"/>
    <w:rsid w:val="00790F80"/>
    <w:rsid w:val="00793CC8"/>
    <w:rsid w:val="00794507"/>
    <w:rsid w:val="00797375"/>
    <w:rsid w:val="00797FCA"/>
    <w:rsid w:val="007A10AA"/>
    <w:rsid w:val="007A255E"/>
    <w:rsid w:val="007A3908"/>
    <w:rsid w:val="007A4793"/>
    <w:rsid w:val="007B495D"/>
    <w:rsid w:val="007B5585"/>
    <w:rsid w:val="007B6CCC"/>
    <w:rsid w:val="007B73CA"/>
    <w:rsid w:val="007C33E8"/>
    <w:rsid w:val="007C3F57"/>
    <w:rsid w:val="007C4F17"/>
    <w:rsid w:val="007C7A2C"/>
    <w:rsid w:val="007C7EAF"/>
    <w:rsid w:val="007D332C"/>
    <w:rsid w:val="007D399F"/>
    <w:rsid w:val="007D47A6"/>
    <w:rsid w:val="007D4909"/>
    <w:rsid w:val="007D7308"/>
    <w:rsid w:val="007D7E72"/>
    <w:rsid w:val="007D7FD9"/>
    <w:rsid w:val="007E2BA2"/>
    <w:rsid w:val="007E2C33"/>
    <w:rsid w:val="007E30E5"/>
    <w:rsid w:val="007E333A"/>
    <w:rsid w:val="007E413F"/>
    <w:rsid w:val="007E425B"/>
    <w:rsid w:val="007E4909"/>
    <w:rsid w:val="007E5CF9"/>
    <w:rsid w:val="007E72E5"/>
    <w:rsid w:val="007E7330"/>
    <w:rsid w:val="007E75B5"/>
    <w:rsid w:val="007E7CED"/>
    <w:rsid w:val="007F075C"/>
    <w:rsid w:val="007F1410"/>
    <w:rsid w:val="007F29AC"/>
    <w:rsid w:val="007F3026"/>
    <w:rsid w:val="007F3E60"/>
    <w:rsid w:val="007F60E6"/>
    <w:rsid w:val="007F7602"/>
    <w:rsid w:val="007F78A3"/>
    <w:rsid w:val="0080149E"/>
    <w:rsid w:val="008027C3"/>
    <w:rsid w:val="00805B19"/>
    <w:rsid w:val="008062EB"/>
    <w:rsid w:val="0080656A"/>
    <w:rsid w:val="00806AD2"/>
    <w:rsid w:val="00806C1D"/>
    <w:rsid w:val="00810506"/>
    <w:rsid w:val="00811483"/>
    <w:rsid w:val="00813EBF"/>
    <w:rsid w:val="008149C1"/>
    <w:rsid w:val="00816178"/>
    <w:rsid w:val="00817573"/>
    <w:rsid w:val="008212E6"/>
    <w:rsid w:val="00822834"/>
    <w:rsid w:val="00822EBC"/>
    <w:rsid w:val="00824B93"/>
    <w:rsid w:val="00825E64"/>
    <w:rsid w:val="008266AD"/>
    <w:rsid w:val="008301FF"/>
    <w:rsid w:val="008306D5"/>
    <w:rsid w:val="00830CD3"/>
    <w:rsid w:val="008327A6"/>
    <w:rsid w:val="00836240"/>
    <w:rsid w:val="00837B68"/>
    <w:rsid w:val="008435F5"/>
    <w:rsid w:val="00843796"/>
    <w:rsid w:val="00843C6D"/>
    <w:rsid w:val="008451CB"/>
    <w:rsid w:val="00845616"/>
    <w:rsid w:val="00845ADD"/>
    <w:rsid w:val="008478C0"/>
    <w:rsid w:val="00847D51"/>
    <w:rsid w:val="00850109"/>
    <w:rsid w:val="00850B6D"/>
    <w:rsid w:val="00850B99"/>
    <w:rsid w:val="008528F9"/>
    <w:rsid w:val="008541D7"/>
    <w:rsid w:val="0085479A"/>
    <w:rsid w:val="008547C4"/>
    <w:rsid w:val="00854CF9"/>
    <w:rsid w:val="008552A8"/>
    <w:rsid w:val="008565D7"/>
    <w:rsid w:val="008610C0"/>
    <w:rsid w:val="008634B9"/>
    <w:rsid w:val="00864F65"/>
    <w:rsid w:val="008657DF"/>
    <w:rsid w:val="008659C3"/>
    <w:rsid w:val="00865D82"/>
    <w:rsid w:val="00865F8F"/>
    <w:rsid w:val="008716FB"/>
    <w:rsid w:val="00872616"/>
    <w:rsid w:val="008727E5"/>
    <w:rsid w:val="00873FA0"/>
    <w:rsid w:val="00876D9A"/>
    <w:rsid w:val="008778BC"/>
    <w:rsid w:val="00881F1B"/>
    <w:rsid w:val="00881F55"/>
    <w:rsid w:val="0088336F"/>
    <w:rsid w:val="008856DE"/>
    <w:rsid w:val="008901FD"/>
    <w:rsid w:val="00897C64"/>
    <w:rsid w:val="008A58B0"/>
    <w:rsid w:val="008A5F51"/>
    <w:rsid w:val="008A6646"/>
    <w:rsid w:val="008B10E0"/>
    <w:rsid w:val="008B2064"/>
    <w:rsid w:val="008B22AE"/>
    <w:rsid w:val="008B306B"/>
    <w:rsid w:val="008B43EA"/>
    <w:rsid w:val="008B5074"/>
    <w:rsid w:val="008B746D"/>
    <w:rsid w:val="008C0680"/>
    <w:rsid w:val="008C079A"/>
    <w:rsid w:val="008C0EFA"/>
    <w:rsid w:val="008C20B7"/>
    <w:rsid w:val="008C5AE7"/>
    <w:rsid w:val="008D1C50"/>
    <w:rsid w:val="008D3576"/>
    <w:rsid w:val="008D37F4"/>
    <w:rsid w:val="008D41DD"/>
    <w:rsid w:val="008D7958"/>
    <w:rsid w:val="008D7F7C"/>
    <w:rsid w:val="008E1A2C"/>
    <w:rsid w:val="008E1A9D"/>
    <w:rsid w:val="008E1E44"/>
    <w:rsid w:val="008E3718"/>
    <w:rsid w:val="008E5290"/>
    <w:rsid w:val="008E5CD1"/>
    <w:rsid w:val="008F04D4"/>
    <w:rsid w:val="008F11EC"/>
    <w:rsid w:val="008F3369"/>
    <w:rsid w:val="008F35B0"/>
    <w:rsid w:val="008F3E1A"/>
    <w:rsid w:val="008F5807"/>
    <w:rsid w:val="008F6922"/>
    <w:rsid w:val="008F79A5"/>
    <w:rsid w:val="00901A7E"/>
    <w:rsid w:val="00902524"/>
    <w:rsid w:val="00902536"/>
    <w:rsid w:val="00903D7B"/>
    <w:rsid w:val="0090478F"/>
    <w:rsid w:val="0090501F"/>
    <w:rsid w:val="0090511C"/>
    <w:rsid w:val="009056A8"/>
    <w:rsid w:val="00907B09"/>
    <w:rsid w:val="009106C4"/>
    <w:rsid w:val="009122F6"/>
    <w:rsid w:val="00914EDC"/>
    <w:rsid w:val="00915818"/>
    <w:rsid w:val="00916054"/>
    <w:rsid w:val="00917586"/>
    <w:rsid w:val="00917E1F"/>
    <w:rsid w:val="00920485"/>
    <w:rsid w:val="00921522"/>
    <w:rsid w:val="009218E2"/>
    <w:rsid w:val="009234B4"/>
    <w:rsid w:val="0092364F"/>
    <w:rsid w:val="00923B77"/>
    <w:rsid w:val="00924887"/>
    <w:rsid w:val="00926AE2"/>
    <w:rsid w:val="009311AF"/>
    <w:rsid w:val="00931CCF"/>
    <w:rsid w:val="00933877"/>
    <w:rsid w:val="00934273"/>
    <w:rsid w:val="009350D4"/>
    <w:rsid w:val="00935140"/>
    <w:rsid w:val="00935829"/>
    <w:rsid w:val="00940081"/>
    <w:rsid w:val="0094133E"/>
    <w:rsid w:val="0094256A"/>
    <w:rsid w:val="009501A8"/>
    <w:rsid w:val="00953376"/>
    <w:rsid w:val="00953785"/>
    <w:rsid w:val="00953794"/>
    <w:rsid w:val="00953E05"/>
    <w:rsid w:val="00954264"/>
    <w:rsid w:val="00955781"/>
    <w:rsid w:val="00956A7D"/>
    <w:rsid w:val="00956CF3"/>
    <w:rsid w:val="00961D2F"/>
    <w:rsid w:val="00962618"/>
    <w:rsid w:val="00963423"/>
    <w:rsid w:val="00963742"/>
    <w:rsid w:val="00963828"/>
    <w:rsid w:val="00963BF8"/>
    <w:rsid w:val="00970C6B"/>
    <w:rsid w:val="00971F92"/>
    <w:rsid w:val="0097209D"/>
    <w:rsid w:val="00972228"/>
    <w:rsid w:val="00974A7A"/>
    <w:rsid w:val="009751BF"/>
    <w:rsid w:val="00977581"/>
    <w:rsid w:val="009777C4"/>
    <w:rsid w:val="00977DB3"/>
    <w:rsid w:val="00981438"/>
    <w:rsid w:val="00981834"/>
    <w:rsid w:val="009821A8"/>
    <w:rsid w:val="00984615"/>
    <w:rsid w:val="009849B6"/>
    <w:rsid w:val="00986983"/>
    <w:rsid w:val="00990CB9"/>
    <w:rsid w:val="00990EAC"/>
    <w:rsid w:val="00991047"/>
    <w:rsid w:val="00996358"/>
    <w:rsid w:val="00996DA0"/>
    <w:rsid w:val="009A1A46"/>
    <w:rsid w:val="009A25E5"/>
    <w:rsid w:val="009A385E"/>
    <w:rsid w:val="009A3F90"/>
    <w:rsid w:val="009A42E4"/>
    <w:rsid w:val="009A5A1B"/>
    <w:rsid w:val="009A648A"/>
    <w:rsid w:val="009A71EC"/>
    <w:rsid w:val="009B079B"/>
    <w:rsid w:val="009B17D1"/>
    <w:rsid w:val="009B1BE9"/>
    <w:rsid w:val="009B3033"/>
    <w:rsid w:val="009B5293"/>
    <w:rsid w:val="009B559A"/>
    <w:rsid w:val="009B6ACC"/>
    <w:rsid w:val="009B7597"/>
    <w:rsid w:val="009C0478"/>
    <w:rsid w:val="009C05CF"/>
    <w:rsid w:val="009C1511"/>
    <w:rsid w:val="009C1DA8"/>
    <w:rsid w:val="009C274D"/>
    <w:rsid w:val="009C3EA6"/>
    <w:rsid w:val="009D0E17"/>
    <w:rsid w:val="009D11E3"/>
    <w:rsid w:val="009D4271"/>
    <w:rsid w:val="009D484B"/>
    <w:rsid w:val="009D4D45"/>
    <w:rsid w:val="009D53F4"/>
    <w:rsid w:val="009D5FF2"/>
    <w:rsid w:val="009D7F18"/>
    <w:rsid w:val="009E0A5A"/>
    <w:rsid w:val="009E11B5"/>
    <w:rsid w:val="009E156D"/>
    <w:rsid w:val="009E269B"/>
    <w:rsid w:val="009E5606"/>
    <w:rsid w:val="009F4140"/>
    <w:rsid w:val="009F533E"/>
    <w:rsid w:val="009F550A"/>
    <w:rsid w:val="009F58DF"/>
    <w:rsid w:val="009F7334"/>
    <w:rsid w:val="00A01069"/>
    <w:rsid w:val="00A015BD"/>
    <w:rsid w:val="00A02FC4"/>
    <w:rsid w:val="00A03701"/>
    <w:rsid w:val="00A044D6"/>
    <w:rsid w:val="00A0464C"/>
    <w:rsid w:val="00A0488E"/>
    <w:rsid w:val="00A048A7"/>
    <w:rsid w:val="00A06FD0"/>
    <w:rsid w:val="00A073FB"/>
    <w:rsid w:val="00A1187D"/>
    <w:rsid w:val="00A11F76"/>
    <w:rsid w:val="00A13FD3"/>
    <w:rsid w:val="00A140CF"/>
    <w:rsid w:val="00A14B92"/>
    <w:rsid w:val="00A14D65"/>
    <w:rsid w:val="00A16100"/>
    <w:rsid w:val="00A17BE5"/>
    <w:rsid w:val="00A23FED"/>
    <w:rsid w:val="00A24D6D"/>
    <w:rsid w:val="00A262CD"/>
    <w:rsid w:val="00A32F1E"/>
    <w:rsid w:val="00A36F10"/>
    <w:rsid w:val="00A370EC"/>
    <w:rsid w:val="00A37B95"/>
    <w:rsid w:val="00A47567"/>
    <w:rsid w:val="00A50628"/>
    <w:rsid w:val="00A50CD9"/>
    <w:rsid w:val="00A50EB3"/>
    <w:rsid w:val="00A52D29"/>
    <w:rsid w:val="00A531C3"/>
    <w:rsid w:val="00A55357"/>
    <w:rsid w:val="00A557EF"/>
    <w:rsid w:val="00A57704"/>
    <w:rsid w:val="00A604D9"/>
    <w:rsid w:val="00A61909"/>
    <w:rsid w:val="00A61F3D"/>
    <w:rsid w:val="00A63EB0"/>
    <w:rsid w:val="00A654B3"/>
    <w:rsid w:val="00A6557F"/>
    <w:rsid w:val="00A65A54"/>
    <w:rsid w:val="00A66F87"/>
    <w:rsid w:val="00A6747A"/>
    <w:rsid w:val="00A701A7"/>
    <w:rsid w:val="00A71947"/>
    <w:rsid w:val="00A720C2"/>
    <w:rsid w:val="00A72771"/>
    <w:rsid w:val="00A73EE9"/>
    <w:rsid w:val="00A755AA"/>
    <w:rsid w:val="00A75E23"/>
    <w:rsid w:val="00A81D12"/>
    <w:rsid w:val="00A8203A"/>
    <w:rsid w:val="00A82CE0"/>
    <w:rsid w:val="00A8490B"/>
    <w:rsid w:val="00A84B02"/>
    <w:rsid w:val="00A86645"/>
    <w:rsid w:val="00A90685"/>
    <w:rsid w:val="00A907E0"/>
    <w:rsid w:val="00A91EA5"/>
    <w:rsid w:val="00A92A2D"/>
    <w:rsid w:val="00A92E1F"/>
    <w:rsid w:val="00A93AD1"/>
    <w:rsid w:val="00A93FCA"/>
    <w:rsid w:val="00A940C6"/>
    <w:rsid w:val="00A962E3"/>
    <w:rsid w:val="00A978B8"/>
    <w:rsid w:val="00AA0FC4"/>
    <w:rsid w:val="00AA2A8A"/>
    <w:rsid w:val="00AA3593"/>
    <w:rsid w:val="00AA35B1"/>
    <w:rsid w:val="00AA64C5"/>
    <w:rsid w:val="00AA73BD"/>
    <w:rsid w:val="00AA77E1"/>
    <w:rsid w:val="00AB0AA9"/>
    <w:rsid w:val="00AB0EE0"/>
    <w:rsid w:val="00AB1E01"/>
    <w:rsid w:val="00AB3F32"/>
    <w:rsid w:val="00AB4E9F"/>
    <w:rsid w:val="00AB6527"/>
    <w:rsid w:val="00AB6E4C"/>
    <w:rsid w:val="00AC02E7"/>
    <w:rsid w:val="00AC0618"/>
    <w:rsid w:val="00AC2743"/>
    <w:rsid w:val="00AC3661"/>
    <w:rsid w:val="00AC5165"/>
    <w:rsid w:val="00AC5752"/>
    <w:rsid w:val="00AC5B61"/>
    <w:rsid w:val="00AD2771"/>
    <w:rsid w:val="00AD28AD"/>
    <w:rsid w:val="00AD335D"/>
    <w:rsid w:val="00AD41BE"/>
    <w:rsid w:val="00AD728F"/>
    <w:rsid w:val="00AE0043"/>
    <w:rsid w:val="00AE240D"/>
    <w:rsid w:val="00AE3BA4"/>
    <w:rsid w:val="00AE43E8"/>
    <w:rsid w:val="00AE4730"/>
    <w:rsid w:val="00AF0749"/>
    <w:rsid w:val="00AF13D7"/>
    <w:rsid w:val="00AF15A7"/>
    <w:rsid w:val="00AF241B"/>
    <w:rsid w:val="00AF2807"/>
    <w:rsid w:val="00AF2F62"/>
    <w:rsid w:val="00AF3ECE"/>
    <w:rsid w:val="00AF65A8"/>
    <w:rsid w:val="00B01E59"/>
    <w:rsid w:val="00B022E6"/>
    <w:rsid w:val="00B02339"/>
    <w:rsid w:val="00B02878"/>
    <w:rsid w:val="00B02D6F"/>
    <w:rsid w:val="00B05372"/>
    <w:rsid w:val="00B059ED"/>
    <w:rsid w:val="00B067D6"/>
    <w:rsid w:val="00B06FD8"/>
    <w:rsid w:val="00B079E1"/>
    <w:rsid w:val="00B1040E"/>
    <w:rsid w:val="00B12BB6"/>
    <w:rsid w:val="00B13FB5"/>
    <w:rsid w:val="00B1514F"/>
    <w:rsid w:val="00B16917"/>
    <w:rsid w:val="00B20E9D"/>
    <w:rsid w:val="00B20FBF"/>
    <w:rsid w:val="00B23AB8"/>
    <w:rsid w:val="00B2497C"/>
    <w:rsid w:val="00B25B65"/>
    <w:rsid w:val="00B2611B"/>
    <w:rsid w:val="00B2754E"/>
    <w:rsid w:val="00B3089B"/>
    <w:rsid w:val="00B3102F"/>
    <w:rsid w:val="00B3365C"/>
    <w:rsid w:val="00B33E78"/>
    <w:rsid w:val="00B343D3"/>
    <w:rsid w:val="00B3457E"/>
    <w:rsid w:val="00B349B9"/>
    <w:rsid w:val="00B34C10"/>
    <w:rsid w:val="00B3547A"/>
    <w:rsid w:val="00B35D4C"/>
    <w:rsid w:val="00B36FEC"/>
    <w:rsid w:val="00B41617"/>
    <w:rsid w:val="00B41B1C"/>
    <w:rsid w:val="00B43375"/>
    <w:rsid w:val="00B43670"/>
    <w:rsid w:val="00B43F96"/>
    <w:rsid w:val="00B45936"/>
    <w:rsid w:val="00B47F90"/>
    <w:rsid w:val="00B57D7F"/>
    <w:rsid w:val="00B605C6"/>
    <w:rsid w:val="00B612B1"/>
    <w:rsid w:val="00B612FA"/>
    <w:rsid w:val="00B613D1"/>
    <w:rsid w:val="00B617D2"/>
    <w:rsid w:val="00B62A7B"/>
    <w:rsid w:val="00B62CC6"/>
    <w:rsid w:val="00B63741"/>
    <w:rsid w:val="00B63951"/>
    <w:rsid w:val="00B63F09"/>
    <w:rsid w:val="00B6408E"/>
    <w:rsid w:val="00B64D1C"/>
    <w:rsid w:val="00B65C67"/>
    <w:rsid w:val="00B65EEA"/>
    <w:rsid w:val="00B669DC"/>
    <w:rsid w:val="00B66B6A"/>
    <w:rsid w:val="00B66DD6"/>
    <w:rsid w:val="00B70963"/>
    <w:rsid w:val="00B70F93"/>
    <w:rsid w:val="00B716EA"/>
    <w:rsid w:val="00B71BF8"/>
    <w:rsid w:val="00B738CB"/>
    <w:rsid w:val="00B743E1"/>
    <w:rsid w:val="00B7471A"/>
    <w:rsid w:val="00B74EE2"/>
    <w:rsid w:val="00B77313"/>
    <w:rsid w:val="00B77C64"/>
    <w:rsid w:val="00B8164C"/>
    <w:rsid w:val="00B828ED"/>
    <w:rsid w:val="00B83DDD"/>
    <w:rsid w:val="00B8404E"/>
    <w:rsid w:val="00B84BAE"/>
    <w:rsid w:val="00B84F80"/>
    <w:rsid w:val="00B85A59"/>
    <w:rsid w:val="00B866D5"/>
    <w:rsid w:val="00B91142"/>
    <w:rsid w:val="00B939B8"/>
    <w:rsid w:val="00B93A36"/>
    <w:rsid w:val="00B9557B"/>
    <w:rsid w:val="00B95B0E"/>
    <w:rsid w:val="00B97DC9"/>
    <w:rsid w:val="00BA111B"/>
    <w:rsid w:val="00BA24E5"/>
    <w:rsid w:val="00BA2BC7"/>
    <w:rsid w:val="00BA3BC1"/>
    <w:rsid w:val="00BA3DF1"/>
    <w:rsid w:val="00BA4F8F"/>
    <w:rsid w:val="00BA6973"/>
    <w:rsid w:val="00BA7C91"/>
    <w:rsid w:val="00BB2FF6"/>
    <w:rsid w:val="00BB460E"/>
    <w:rsid w:val="00BB4AEA"/>
    <w:rsid w:val="00BB67F2"/>
    <w:rsid w:val="00BB6A1C"/>
    <w:rsid w:val="00BB6C06"/>
    <w:rsid w:val="00BB6D6A"/>
    <w:rsid w:val="00BB78A5"/>
    <w:rsid w:val="00BC0A05"/>
    <w:rsid w:val="00BC0C56"/>
    <w:rsid w:val="00BC551C"/>
    <w:rsid w:val="00BC5AB5"/>
    <w:rsid w:val="00BC5EEA"/>
    <w:rsid w:val="00BD1559"/>
    <w:rsid w:val="00BD2CA4"/>
    <w:rsid w:val="00BD400C"/>
    <w:rsid w:val="00BD42C6"/>
    <w:rsid w:val="00BD584A"/>
    <w:rsid w:val="00BD6758"/>
    <w:rsid w:val="00BE07C8"/>
    <w:rsid w:val="00BE142A"/>
    <w:rsid w:val="00BE26D5"/>
    <w:rsid w:val="00BE5190"/>
    <w:rsid w:val="00BE7B62"/>
    <w:rsid w:val="00BF0CC9"/>
    <w:rsid w:val="00BF2A77"/>
    <w:rsid w:val="00BF4B99"/>
    <w:rsid w:val="00BF5329"/>
    <w:rsid w:val="00BF7D9C"/>
    <w:rsid w:val="00C00529"/>
    <w:rsid w:val="00C01F57"/>
    <w:rsid w:val="00C01FEE"/>
    <w:rsid w:val="00C05B5F"/>
    <w:rsid w:val="00C07EFF"/>
    <w:rsid w:val="00C106F4"/>
    <w:rsid w:val="00C11C66"/>
    <w:rsid w:val="00C12C80"/>
    <w:rsid w:val="00C13D02"/>
    <w:rsid w:val="00C150C2"/>
    <w:rsid w:val="00C17F17"/>
    <w:rsid w:val="00C207C5"/>
    <w:rsid w:val="00C218A6"/>
    <w:rsid w:val="00C2190E"/>
    <w:rsid w:val="00C23072"/>
    <w:rsid w:val="00C23727"/>
    <w:rsid w:val="00C248B5"/>
    <w:rsid w:val="00C25537"/>
    <w:rsid w:val="00C26164"/>
    <w:rsid w:val="00C27085"/>
    <w:rsid w:val="00C272D3"/>
    <w:rsid w:val="00C27CA5"/>
    <w:rsid w:val="00C320B4"/>
    <w:rsid w:val="00C44ABF"/>
    <w:rsid w:val="00C505D6"/>
    <w:rsid w:val="00C51EE9"/>
    <w:rsid w:val="00C531AE"/>
    <w:rsid w:val="00C5321C"/>
    <w:rsid w:val="00C5358D"/>
    <w:rsid w:val="00C5441E"/>
    <w:rsid w:val="00C5455E"/>
    <w:rsid w:val="00C556B3"/>
    <w:rsid w:val="00C55D2C"/>
    <w:rsid w:val="00C5657F"/>
    <w:rsid w:val="00C56BAB"/>
    <w:rsid w:val="00C578F8"/>
    <w:rsid w:val="00C57B7D"/>
    <w:rsid w:val="00C57FA7"/>
    <w:rsid w:val="00C61C7E"/>
    <w:rsid w:val="00C61D92"/>
    <w:rsid w:val="00C63653"/>
    <w:rsid w:val="00C63AAB"/>
    <w:rsid w:val="00C65CB2"/>
    <w:rsid w:val="00C7147F"/>
    <w:rsid w:val="00C71974"/>
    <w:rsid w:val="00C7422A"/>
    <w:rsid w:val="00C75D2D"/>
    <w:rsid w:val="00C77915"/>
    <w:rsid w:val="00C77D0C"/>
    <w:rsid w:val="00C80B94"/>
    <w:rsid w:val="00C8251D"/>
    <w:rsid w:val="00C8276C"/>
    <w:rsid w:val="00C82810"/>
    <w:rsid w:val="00C82F1E"/>
    <w:rsid w:val="00C83A37"/>
    <w:rsid w:val="00C90EF5"/>
    <w:rsid w:val="00C91A72"/>
    <w:rsid w:val="00C91C59"/>
    <w:rsid w:val="00C91D73"/>
    <w:rsid w:val="00C935D1"/>
    <w:rsid w:val="00C94C69"/>
    <w:rsid w:val="00CA01D9"/>
    <w:rsid w:val="00CA292E"/>
    <w:rsid w:val="00CA3FE0"/>
    <w:rsid w:val="00CA47EE"/>
    <w:rsid w:val="00CA4BDA"/>
    <w:rsid w:val="00CA4C7A"/>
    <w:rsid w:val="00CA54DA"/>
    <w:rsid w:val="00CA7D82"/>
    <w:rsid w:val="00CB02A8"/>
    <w:rsid w:val="00CB11B7"/>
    <w:rsid w:val="00CB1F96"/>
    <w:rsid w:val="00CB2600"/>
    <w:rsid w:val="00CB31A5"/>
    <w:rsid w:val="00CB3994"/>
    <w:rsid w:val="00CB6213"/>
    <w:rsid w:val="00CB6362"/>
    <w:rsid w:val="00CC0FD9"/>
    <w:rsid w:val="00CC41FA"/>
    <w:rsid w:val="00CC5B9D"/>
    <w:rsid w:val="00CD09DF"/>
    <w:rsid w:val="00CD135E"/>
    <w:rsid w:val="00CD18A3"/>
    <w:rsid w:val="00CD1A63"/>
    <w:rsid w:val="00CD2358"/>
    <w:rsid w:val="00CD2623"/>
    <w:rsid w:val="00CD28FE"/>
    <w:rsid w:val="00CD2FDB"/>
    <w:rsid w:val="00CD4F3B"/>
    <w:rsid w:val="00CD6385"/>
    <w:rsid w:val="00CE0D87"/>
    <w:rsid w:val="00CE1096"/>
    <w:rsid w:val="00CE4A65"/>
    <w:rsid w:val="00CE739F"/>
    <w:rsid w:val="00CF1222"/>
    <w:rsid w:val="00CF1F79"/>
    <w:rsid w:val="00CF211A"/>
    <w:rsid w:val="00CF2CF4"/>
    <w:rsid w:val="00CF2EE9"/>
    <w:rsid w:val="00CF3F2D"/>
    <w:rsid w:val="00CF512E"/>
    <w:rsid w:val="00CF5F38"/>
    <w:rsid w:val="00CF6B2C"/>
    <w:rsid w:val="00CF707C"/>
    <w:rsid w:val="00D008D5"/>
    <w:rsid w:val="00D00A5F"/>
    <w:rsid w:val="00D010CC"/>
    <w:rsid w:val="00D01BDF"/>
    <w:rsid w:val="00D03691"/>
    <w:rsid w:val="00D0431F"/>
    <w:rsid w:val="00D048C2"/>
    <w:rsid w:val="00D0509B"/>
    <w:rsid w:val="00D05C76"/>
    <w:rsid w:val="00D06542"/>
    <w:rsid w:val="00D075C6"/>
    <w:rsid w:val="00D07823"/>
    <w:rsid w:val="00D07876"/>
    <w:rsid w:val="00D07D24"/>
    <w:rsid w:val="00D103BD"/>
    <w:rsid w:val="00D1192A"/>
    <w:rsid w:val="00D126F1"/>
    <w:rsid w:val="00D12A07"/>
    <w:rsid w:val="00D12C4D"/>
    <w:rsid w:val="00D14CBF"/>
    <w:rsid w:val="00D16945"/>
    <w:rsid w:val="00D171CE"/>
    <w:rsid w:val="00D20E6C"/>
    <w:rsid w:val="00D21FF6"/>
    <w:rsid w:val="00D2283D"/>
    <w:rsid w:val="00D23D5E"/>
    <w:rsid w:val="00D24D5B"/>
    <w:rsid w:val="00D251B8"/>
    <w:rsid w:val="00D255EA"/>
    <w:rsid w:val="00D27405"/>
    <w:rsid w:val="00D30BDA"/>
    <w:rsid w:val="00D30FB8"/>
    <w:rsid w:val="00D31642"/>
    <w:rsid w:val="00D31AC4"/>
    <w:rsid w:val="00D31C1B"/>
    <w:rsid w:val="00D31CF8"/>
    <w:rsid w:val="00D3208F"/>
    <w:rsid w:val="00D325DE"/>
    <w:rsid w:val="00D35AED"/>
    <w:rsid w:val="00D35D96"/>
    <w:rsid w:val="00D36F30"/>
    <w:rsid w:val="00D3777E"/>
    <w:rsid w:val="00D4121F"/>
    <w:rsid w:val="00D46FC9"/>
    <w:rsid w:val="00D51DAC"/>
    <w:rsid w:val="00D53070"/>
    <w:rsid w:val="00D5318E"/>
    <w:rsid w:val="00D553E2"/>
    <w:rsid w:val="00D55943"/>
    <w:rsid w:val="00D56F4B"/>
    <w:rsid w:val="00D57051"/>
    <w:rsid w:val="00D570BE"/>
    <w:rsid w:val="00D60081"/>
    <w:rsid w:val="00D625A4"/>
    <w:rsid w:val="00D63D94"/>
    <w:rsid w:val="00D64317"/>
    <w:rsid w:val="00D64794"/>
    <w:rsid w:val="00D64BE6"/>
    <w:rsid w:val="00D65DFB"/>
    <w:rsid w:val="00D66D4B"/>
    <w:rsid w:val="00D674CC"/>
    <w:rsid w:val="00D71E73"/>
    <w:rsid w:val="00D72B39"/>
    <w:rsid w:val="00D732B8"/>
    <w:rsid w:val="00D7405C"/>
    <w:rsid w:val="00D742CC"/>
    <w:rsid w:val="00D74BC0"/>
    <w:rsid w:val="00D76876"/>
    <w:rsid w:val="00D81283"/>
    <w:rsid w:val="00D825CD"/>
    <w:rsid w:val="00D835FE"/>
    <w:rsid w:val="00D84ED8"/>
    <w:rsid w:val="00D857AD"/>
    <w:rsid w:val="00D858C7"/>
    <w:rsid w:val="00D85B5E"/>
    <w:rsid w:val="00D86F2C"/>
    <w:rsid w:val="00D9060A"/>
    <w:rsid w:val="00D91449"/>
    <w:rsid w:val="00D9279C"/>
    <w:rsid w:val="00D927FF"/>
    <w:rsid w:val="00D940BC"/>
    <w:rsid w:val="00D96E88"/>
    <w:rsid w:val="00D9773B"/>
    <w:rsid w:val="00DA1078"/>
    <w:rsid w:val="00DA1693"/>
    <w:rsid w:val="00DA5C19"/>
    <w:rsid w:val="00DA5CAB"/>
    <w:rsid w:val="00DA5DDE"/>
    <w:rsid w:val="00DA696D"/>
    <w:rsid w:val="00DB02FF"/>
    <w:rsid w:val="00DB0A46"/>
    <w:rsid w:val="00DB17E4"/>
    <w:rsid w:val="00DB41BF"/>
    <w:rsid w:val="00DB44BE"/>
    <w:rsid w:val="00DB5B64"/>
    <w:rsid w:val="00DB6C23"/>
    <w:rsid w:val="00DB75E4"/>
    <w:rsid w:val="00DB79A8"/>
    <w:rsid w:val="00DC1279"/>
    <w:rsid w:val="00DC17C3"/>
    <w:rsid w:val="00DC23E0"/>
    <w:rsid w:val="00DC3B9F"/>
    <w:rsid w:val="00DC3F54"/>
    <w:rsid w:val="00DC6533"/>
    <w:rsid w:val="00DC78B8"/>
    <w:rsid w:val="00DD2D3E"/>
    <w:rsid w:val="00DD41CE"/>
    <w:rsid w:val="00DD6D33"/>
    <w:rsid w:val="00DE5834"/>
    <w:rsid w:val="00DE64BF"/>
    <w:rsid w:val="00DE7EF6"/>
    <w:rsid w:val="00DF1471"/>
    <w:rsid w:val="00DF21F8"/>
    <w:rsid w:val="00DF331C"/>
    <w:rsid w:val="00DF44A4"/>
    <w:rsid w:val="00DF5E46"/>
    <w:rsid w:val="00DF6A13"/>
    <w:rsid w:val="00DF7B42"/>
    <w:rsid w:val="00E00C91"/>
    <w:rsid w:val="00E0181F"/>
    <w:rsid w:val="00E02295"/>
    <w:rsid w:val="00E0401C"/>
    <w:rsid w:val="00E0481A"/>
    <w:rsid w:val="00E05495"/>
    <w:rsid w:val="00E06EE6"/>
    <w:rsid w:val="00E072D7"/>
    <w:rsid w:val="00E07F37"/>
    <w:rsid w:val="00E125A1"/>
    <w:rsid w:val="00E13EF6"/>
    <w:rsid w:val="00E146EF"/>
    <w:rsid w:val="00E1530E"/>
    <w:rsid w:val="00E15A80"/>
    <w:rsid w:val="00E17E7D"/>
    <w:rsid w:val="00E20D1B"/>
    <w:rsid w:val="00E249D0"/>
    <w:rsid w:val="00E25A0C"/>
    <w:rsid w:val="00E2607C"/>
    <w:rsid w:val="00E279F6"/>
    <w:rsid w:val="00E305D3"/>
    <w:rsid w:val="00E32577"/>
    <w:rsid w:val="00E3358F"/>
    <w:rsid w:val="00E33998"/>
    <w:rsid w:val="00E348CF"/>
    <w:rsid w:val="00E350D7"/>
    <w:rsid w:val="00E3551D"/>
    <w:rsid w:val="00E355E9"/>
    <w:rsid w:val="00E36314"/>
    <w:rsid w:val="00E40E33"/>
    <w:rsid w:val="00E40E49"/>
    <w:rsid w:val="00E41D7C"/>
    <w:rsid w:val="00E4383C"/>
    <w:rsid w:val="00E43D18"/>
    <w:rsid w:val="00E44302"/>
    <w:rsid w:val="00E44811"/>
    <w:rsid w:val="00E479EC"/>
    <w:rsid w:val="00E47CF4"/>
    <w:rsid w:val="00E504AE"/>
    <w:rsid w:val="00E50502"/>
    <w:rsid w:val="00E505A9"/>
    <w:rsid w:val="00E50BC3"/>
    <w:rsid w:val="00E5130F"/>
    <w:rsid w:val="00E5162A"/>
    <w:rsid w:val="00E51740"/>
    <w:rsid w:val="00E5333B"/>
    <w:rsid w:val="00E55005"/>
    <w:rsid w:val="00E55221"/>
    <w:rsid w:val="00E5570F"/>
    <w:rsid w:val="00E62DAE"/>
    <w:rsid w:val="00E63C88"/>
    <w:rsid w:val="00E63DBF"/>
    <w:rsid w:val="00E65166"/>
    <w:rsid w:val="00E65319"/>
    <w:rsid w:val="00E66FDE"/>
    <w:rsid w:val="00E7030E"/>
    <w:rsid w:val="00E7068C"/>
    <w:rsid w:val="00E70781"/>
    <w:rsid w:val="00E74963"/>
    <w:rsid w:val="00E814FA"/>
    <w:rsid w:val="00E81506"/>
    <w:rsid w:val="00E82244"/>
    <w:rsid w:val="00E8356A"/>
    <w:rsid w:val="00E840B2"/>
    <w:rsid w:val="00E846B1"/>
    <w:rsid w:val="00E84CB7"/>
    <w:rsid w:val="00E87F34"/>
    <w:rsid w:val="00E91163"/>
    <w:rsid w:val="00E92F3F"/>
    <w:rsid w:val="00E94866"/>
    <w:rsid w:val="00E956DD"/>
    <w:rsid w:val="00EA0005"/>
    <w:rsid w:val="00EA28C3"/>
    <w:rsid w:val="00EA55D7"/>
    <w:rsid w:val="00EA6469"/>
    <w:rsid w:val="00EA7A4F"/>
    <w:rsid w:val="00EB6C5F"/>
    <w:rsid w:val="00EB6C9D"/>
    <w:rsid w:val="00EB7718"/>
    <w:rsid w:val="00EB77FD"/>
    <w:rsid w:val="00EC446A"/>
    <w:rsid w:val="00EC5A03"/>
    <w:rsid w:val="00EC6FA6"/>
    <w:rsid w:val="00ED0428"/>
    <w:rsid w:val="00ED06A3"/>
    <w:rsid w:val="00ED1339"/>
    <w:rsid w:val="00ED27DE"/>
    <w:rsid w:val="00ED434C"/>
    <w:rsid w:val="00ED5B26"/>
    <w:rsid w:val="00ED6808"/>
    <w:rsid w:val="00EE0565"/>
    <w:rsid w:val="00EE0A96"/>
    <w:rsid w:val="00EE2203"/>
    <w:rsid w:val="00EE37B1"/>
    <w:rsid w:val="00EE4EF3"/>
    <w:rsid w:val="00EE67EB"/>
    <w:rsid w:val="00EE7672"/>
    <w:rsid w:val="00EF02CB"/>
    <w:rsid w:val="00EF1146"/>
    <w:rsid w:val="00EF1CA8"/>
    <w:rsid w:val="00EF2311"/>
    <w:rsid w:val="00EF4874"/>
    <w:rsid w:val="00EF50D9"/>
    <w:rsid w:val="00EF5281"/>
    <w:rsid w:val="00EF5724"/>
    <w:rsid w:val="00EF7256"/>
    <w:rsid w:val="00F00F96"/>
    <w:rsid w:val="00F01213"/>
    <w:rsid w:val="00F027E7"/>
    <w:rsid w:val="00F02A7B"/>
    <w:rsid w:val="00F0414C"/>
    <w:rsid w:val="00F05687"/>
    <w:rsid w:val="00F059D3"/>
    <w:rsid w:val="00F13B40"/>
    <w:rsid w:val="00F14AF7"/>
    <w:rsid w:val="00F15CF6"/>
    <w:rsid w:val="00F174A3"/>
    <w:rsid w:val="00F17949"/>
    <w:rsid w:val="00F23FD5"/>
    <w:rsid w:val="00F24C9A"/>
    <w:rsid w:val="00F26874"/>
    <w:rsid w:val="00F269C1"/>
    <w:rsid w:val="00F27490"/>
    <w:rsid w:val="00F32EEA"/>
    <w:rsid w:val="00F3578A"/>
    <w:rsid w:val="00F371F5"/>
    <w:rsid w:val="00F400FC"/>
    <w:rsid w:val="00F40B79"/>
    <w:rsid w:val="00F443ED"/>
    <w:rsid w:val="00F45167"/>
    <w:rsid w:val="00F453B6"/>
    <w:rsid w:val="00F454E6"/>
    <w:rsid w:val="00F52AE7"/>
    <w:rsid w:val="00F53207"/>
    <w:rsid w:val="00F541BB"/>
    <w:rsid w:val="00F557CF"/>
    <w:rsid w:val="00F55933"/>
    <w:rsid w:val="00F571F1"/>
    <w:rsid w:val="00F57BA0"/>
    <w:rsid w:val="00F61CC1"/>
    <w:rsid w:val="00F63A4D"/>
    <w:rsid w:val="00F63F8B"/>
    <w:rsid w:val="00F64630"/>
    <w:rsid w:val="00F64792"/>
    <w:rsid w:val="00F648B7"/>
    <w:rsid w:val="00F64CAB"/>
    <w:rsid w:val="00F670AF"/>
    <w:rsid w:val="00F675EA"/>
    <w:rsid w:val="00F67B72"/>
    <w:rsid w:val="00F715EB"/>
    <w:rsid w:val="00F71957"/>
    <w:rsid w:val="00F71BD5"/>
    <w:rsid w:val="00F7262C"/>
    <w:rsid w:val="00F736B7"/>
    <w:rsid w:val="00F75148"/>
    <w:rsid w:val="00F75230"/>
    <w:rsid w:val="00F753C7"/>
    <w:rsid w:val="00F75BFA"/>
    <w:rsid w:val="00F75F3B"/>
    <w:rsid w:val="00F809B0"/>
    <w:rsid w:val="00F80D2C"/>
    <w:rsid w:val="00F819E6"/>
    <w:rsid w:val="00F82639"/>
    <w:rsid w:val="00F83213"/>
    <w:rsid w:val="00F84A1F"/>
    <w:rsid w:val="00F872C3"/>
    <w:rsid w:val="00F91AB4"/>
    <w:rsid w:val="00F91B9A"/>
    <w:rsid w:val="00F91C61"/>
    <w:rsid w:val="00F929C3"/>
    <w:rsid w:val="00F92DAA"/>
    <w:rsid w:val="00F934C3"/>
    <w:rsid w:val="00F93BE4"/>
    <w:rsid w:val="00F93E4E"/>
    <w:rsid w:val="00F948C9"/>
    <w:rsid w:val="00F95D1A"/>
    <w:rsid w:val="00F97ADC"/>
    <w:rsid w:val="00FA17C1"/>
    <w:rsid w:val="00FA1DC0"/>
    <w:rsid w:val="00FA29A0"/>
    <w:rsid w:val="00FA3909"/>
    <w:rsid w:val="00FA3D53"/>
    <w:rsid w:val="00FA4224"/>
    <w:rsid w:val="00FA4CBF"/>
    <w:rsid w:val="00FA65E2"/>
    <w:rsid w:val="00FA6658"/>
    <w:rsid w:val="00FA7F84"/>
    <w:rsid w:val="00FB0071"/>
    <w:rsid w:val="00FB07E5"/>
    <w:rsid w:val="00FB18C3"/>
    <w:rsid w:val="00FB1A4C"/>
    <w:rsid w:val="00FB25E2"/>
    <w:rsid w:val="00FB3A0B"/>
    <w:rsid w:val="00FB5F74"/>
    <w:rsid w:val="00FB6D7C"/>
    <w:rsid w:val="00FB7B0B"/>
    <w:rsid w:val="00FC2AB2"/>
    <w:rsid w:val="00FC3082"/>
    <w:rsid w:val="00FC41C6"/>
    <w:rsid w:val="00FC7B8D"/>
    <w:rsid w:val="00FD10E2"/>
    <w:rsid w:val="00FD553B"/>
    <w:rsid w:val="00FD5885"/>
    <w:rsid w:val="00FD5B3C"/>
    <w:rsid w:val="00FD6C5D"/>
    <w:rsid w:val="00FD6F4B"/>
    <w:rsid w:val="00FE02B7"/>
    <w:rsid w:val="00FE0894"/>
    <w:rsid w:val="00FE28F4"/>
    <w:rsid w:val="00FE51A7"/>
    <w:rsid w:val="00FE682D"/>
    <w:rsid w:val="00FE736F"/>
    <w:rsid w:val="00FE7A97"/>
    <w:rsid w:val="00FF38D1"/>
    <w:rsid w:val="00FF56FA"/>
    <w:rsid w:val="00FF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BA70"/>
  <w15:docId w15:val="{8321110E-1D21-482C-978D-536FA22C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375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375F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
    <w:next w:val="a"/>
    <w:link w:val="31"/>
    <w:uiPriority w:val="9"/>
    <w:unhideWhenUsed/>
    <w:qFormat/>
    <w:rsid w:val="006D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75FEA"/>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0"/>
    <w:link w:val="20"/>
    <w:uiPriority w:val="9"/>
    <w:rsid w:val="00375FEA"/>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0859AD"/>
    <w:rPr>
      <w:color w:val="0000FF"/>
      <w:u w:val="single"/>
    </w:rPr>
  </w:style>
  <w:style w:type="character" w:customStyle="1" w:styleId="12">
    <w:name w:val="Неразрешенное упоминание1"/>
    <w:basedOn w:val="a0"/>
    <w:uiPriority w:val="99"/>
    <w:semiHidden/>
    <w:unhideWhenUsed/>
    <w:rsid w:val="00990CB9"/>
    <w:rPr>
      <w:color w:val="605E5C"/>
      <w:shd w:val="clear" w:color="auto" w:fill="E1DFDD"/>
    </w:rPr>
  </w:style>
  <w:style w:type="paragraph" w:styleId="a4">
    <w:name w:val="List Paragraph"/>
    <w:aliases w:val="Список точки,СПИСОК,List Paragraph,SA PM Red,Уровент 2.2,Абзац списка ЦНЭС,Начало абзаца,SA Text List,Нумерованный,маркировка1,Заголовок ур.2 (1 раздел),Заголовок 3 -третий уровень,8т рис,Абзац списка4"/>
    <w:basedOn w:val="a"/>
    <w:link w:val="a5"/>
    <w:uiPriority w:val="34"/>
    <w:qFormat/>
    <w:rsid w:val="005E4F1F"/>
    <w:pPr>
      <w:ind w:left="720"/>
      <w:contextualSpacing/>
    </w:pPr>
  </w:style>
  <w:style w:type="character" w:customStyle="1" w:styleId="a5">
    <w:name w:val="Абзац списка Знак"/>
    <w:aliases w:val="Список точки Знак,СПИСОК Знак,List Paragraph Знак,SA PM Red Знак,Уровент 2.2 Знак,Абзац списка ЦНЭС Знак,Начало абзаца Знак,SA Text List Знак,Нумерованный Знак,маркировка1 Знак,Заголовок ур.2 (1 раздел) Знак,8т рис Знак"/>
    <w:link w:val="a4"/>
    <w:uiPriority w:val="34"/>
    <w:locked/>
    <w:rsid w:val="006619D4"/>
  </w:style>
  <w:style w:type="character" w:styleId="a6">
    <w:name w:val="annotation reference"/>
    <w:basedOn w:val="a0"/>
    <w:uiPriority w:val="99"/>
    <w:semiHidden/>
    <w:unhideWhenUsed/>
    <w:rsid w:val="0059333F"/>
    <w:rPr>
      <w:sz w:val="16"/>
      <w:szCs w:val="16"/>
    </w:rPr>
  </w:style>
  <w:style w:type="paragraph" w:styleId="a7">
    <w:name w:val="annotation text"/>
    <w:basedOn w:val="a"/>
    <w:link w:val="a8"/>
    <w:uiPriority w:val="99"/>
    <w:unhideWhenUsed/>
    <w:rsid w:val="0059333F"/>
    <w:pPr>
      <w:spacing w:line="240" w:lineRule="auto"/>
    </w:pPr>
    <w:rPr>
      <w:sz w:val="20"/>
      <w:szCs w:val="20"/>
    </w:rPr>
  </w:style>
  <w:style w:type="character" w:customStyle="1" w:styleId="a8">
    <w:name w:val="Текст примечания Знак"/>
    <w:basedOn w:val="a0"/>
    <w:link w:val="a7"/>
    <w:uiPriority w:val="99"/>
    <w:rsid w:val="0059333F"/>
    <w:rPr>
      <w:sz w:val="20"/>
      <w:szCs w:val="20"/>
    </w:rPr>
  </w:style>
  <w:style w:type="paragraph" w:styleId="a9">
    <w:name w:val="annotation subject"/>
    <w:basedOn w:val="a7"/>
    <w:next w:val="a7"/>
    <w:link w:val="aa"/>
    <w:uiPriority w:val="99"/>
    <w:semiHidden/>
    <w:unhideWhenUsed/>
    <w:rsid w:val="0059333F"/>
    <w:rPr>
      <w:b/>
      <w:bCs/>
    </w:rPr>
  </w:style>
  <w:style w:type="character" w:customStyle="1" w:styleId="aa">
    <w:name w:val="Тема примечания Знак"/>
    <w:basedOn w:val="a8"/>
    <w:link w:val="a9"/>
    <w:uiPriority w:val="99"/>
    <w:semiHidden/>
    <w:rsid w:val="0059333F"/>
    <w:rPr>
      <w:b/>
      <w:bCs/>
      <w:sz w:val="20"/>
      <w:szCs w:val="20"/>
    </w:rPr>
  </w:style>
  <w:style w:type="paragraph" w:styleId="ab">
    <w:name w:val="Balloon Text"/>
    <w:basedOn w:val="a"/>
    <w:link w:val="ac"/>
    <w:uiPriority w:val="99"/>
    <w:semiHidden/>
    <w:unhideWhenUsed/>
    <w:rsid w:val="005933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9333F"/>
    <w:rPr>
      <w:rFonts w:ascii="Tahoma" w:hAnsi="Tahoma" w:cs="Tahoma"/>
      <w:sz w:val="16"/>
      <w:szCs w:val="16"/>
    </w:rPr>
  </w:style>
  <w:style w:type="paragraph" w:styleId="ad">
    <w:name w:val="footnote text"/>
    <w:basedOn w:val="a"/>
    <w:link w:val="ae"/>
    <w:uiPriority w:val="99"/>
    <w:semiHidden/>
    <w:unhideWhenUsed/>
    <w:rsid w:val="008657DF"/>
    <w:pPr>
      <w:spacing w:after="0" w:line="240" w:lineRule="auto"/>
    </w:pPr>
    <w:rPr>
      <w:sz w:val="20"/>
      <w:szCs w:val="20"/>
    </w:rPr>
  </w:style>
  <w:style w:type="character" w:customStyle="1" w:styleId="ae">
    <w:name w:val="Текст сноски Знак"/>
    <w:basedOn w:val="a0"/>
    <w:link w:val="ad"/>
    <w:uiPriority w:val="99"/>
    <w:semiHidden/>
    <w:rsid w:val="008657DF"/>
    <w:rPr>
      <w:sz w:val="20"/>
      <w:szCs w:val="20"/>
    </w:rPr>
  </w:style>
  <w:style w:type="character" w:styleId="af">
    <w:name w:val="footnote reference"/>
    <w:basedOn w:val="a0"/>
    <w:uiPriority w:val="99"/>
    <w:semiHidden/>
    <w:unhideWhenUsed/>
    <w:rsid w:val="008657DF"/>
    <w:rPr>
      <w:vertAlign w:val="superscript"/>
    </w:rPr>
  </w:style>
  <w:style w:type="character" w:customStyle="1" w:styleId="22">
    <w:name w:val="Неразрешенное упоминание2"/>
    <w:basedOn w:val="a0"/>
    <w:uiPriority w:val="99"/>
    <w:semiHidden/>
    <w:unhideWhenUsed/>
    <w:rsid w:val="008F3E1A"/>
    <w:rPr>
      <w:color w:val="605E5C"/>
      <w:shd w:val="clear" w:color="auto" w:fill="E1DFDD"/>
    </w:rPr>
  </w:style>
  <w:style w:type="paragraph" w:styleId="af0">
    <w:name w:val="Title"/>
    <w:basedOn w:val="a"/>
    <w:link w:val="af1"/>
    <w:uiPriority w:val="99"/>
    <w:qFormat/>
    <w:rsid w:val="00B20E9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Заголовок Знак"/>
    <w:basedOn w:val="a0"/>
    <w:link w:val="af0"/>
    <w:uiPriority w:val="99"/>
    <w:rsid w:val="00B20E9D"/>
    <w:rPr>
      <w:rFonts w:ascii="Times New Roman" w:eastAsia="Times New Roman" w:hAnsi="Times New Roman" w:cs="Times New Roman"/>
      <w:b/>
      <w:bCs/>
      <w:sz w:val="24"/>
      <w:szCs w:val="24"/>
      <w:lang w:eastAsia="ru-RU"/>
    </w:rPr>
  </w:style>
  <w:style w:type="table" w:styleId="af2">
    <w:name w:val="Table Grid"/>
    <w:basedOn w:val="a1"/>
    <w:uiPriority w:val="59"/>
    <w:rsid w:val="00B2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20E9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20E9D"/>
  </w:style>
  <w:style w:type="paragraph" w:styleId="af5">
    <w:name w:val="footer"/>
    <w:basedOn w:val="a"/>
    <w:link w:val="af6"/>
    <w:uiPriority w:val="99"/>
    <w:unhideWhenUsed/>
    <w:rsid w:val="00B20E9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20E9D"/>
  </w:style>
  <w:style w:type="paragraph" w:styleId="af7">
    <w:name w:val="TOC Heading"/>
    <w:basedOn w:val="10"/>
    <w:next w:val="a"/>
    <w:uiPriority w:val="39"/>
    <w:unhideWhenUsed/>
    <w:qFormat/>
    <w:rsid w:val="00375FEA"/>
    <w:pPr>
      <w:outlineLvl w:val="9"/>
    </w:pPr>
    <w:rPr>
      <w:lang w:eastAsia="ru-RU"/>
    </w:rPr>
  </w:style>
  <w:style w:type="paragraph" w:styleId="13">
    <w:name w:val="toc 1"/>
    <w:basedOn w:val="a"/>
    <w:next w:val="a"/>
    <w:autoRedefine/>
    <w:uiPriority w:val="39"/>
    <w:unhideWhenUsed/>
    <w:rsid w:val="006B1C47"/>
    <w:pPr>
      <w:tabs>
        <w:tab w:val="left" w:pos="993"/>
        <w:tab w:val="right" w:leader="dot" w:pos="9921"/>
      </w:tabs>
      <w:spacing w:after="0" w:line="276" w:lineRule="auto"/>
      <w:ind w:left="426"/>
    </w:pPr>
  </w:style>
  <w:style w:type="paragraph" w:styleId="23">
    <w:name w:val="toc 2"/>
    <w:basedOn w:val="a"/>
    <w:next w:val="a"/>
    <w:autoRedefine/>
    <w:uiPriority w:val="39"/>
    <w:unhideWhenUsed/>
    <w:rsid w:val="007A255E"/>
    <w:pPr>
      <w:tabs>
        <w:tab w:val="left" w:pos="660"/>
        <w:tab w:val="right" w:leader="dot" w:pos="9911"/>
      </w:tabs>
      <w:spacing w:before="60" w:after="0"/>
      <w:ind w:left="221"/>
    </w:pPr>
  </w:style>
  <w:style w:type="character" w:styleId="af8">
    <w:name w:val="FollowedHyperlink"/>
    <w:basedOn w:val="a0"/>
    <w:uiPriority w:val="99"/>
    <w:semiHidden/>
    <w:unhideWhenUsed/>
    <w:rsid w:val="007C3F57"/>
    <w:rPr>
      <w:color w:val="954F72" w:themeColor="followedHyperlink"/>
      <w:u w:val="single"/>
    </w:rPr>
  </w:style>
  <w:style w:type="character" w:customStyle="1" w:styleId="32">
    <w:name w:val="Неразрешенное упоминание3"/>
    <w:basedOn w:val="a0"/>
    <w:uiPriority w:val="99"/>
    <w:semiHidden/>
    <w:unhideWhenUsed/>
    <w:rsid w:val="0062114B"/>
    <w:rPr>
      <w:color w:val="605E5C"/>
      <w:shd w:val="clear" w:color="auto" w:fill="E1DFDD"/>
    </w:rPr>
  </w:style>
  <w:style w:type="paragraph" w:customStyle="1" w:styleId="b-articletext">
    <w:name w:val="b-article__text"/>
    <w:basedOn w:val="a"/>
    <w:rsid w:val="00AB0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aliases w:val="Caption Char,Caption Char1 Char,Caption Char Char Char,Caption Char1,Caption Char Char,Caption Char2 Char,Caption Char Char1 Char,Caption Char1 Char Char Char,Caption Char Char Char Char Char,Caption Char1 Char1 Char,Caption Char Знак,Ç"/>
    <w:basedOn w:val="a"/>
    <w:next w:val="a"/>
    <w:link w:val="afa"/>
    <w:unhideWhenUsed/>
    <w:qFormat/>
    <w:rsid w:val="00AB0AA9"/>
    <w:pPr>
      <w:spacing w:after="0" w:line="300" w:lineRule="auto"/>
      <w:jc w:val="right"/>
    </w:pPr>
    <w:rPr>
      <w:rFonts w:ascii="Verdana" w:eastAsiaTheme="minorEastAsia" w:hAnsi="Verdana"/>
      <w:b/>
      <w:bCs/>
      <w:spacing w:val="6"/>
      <w:sz w:val="20"/>
      <w:lang w:eastAsia="ru-RU"/>
    </w:rPr>
  </w:style>
  <w:style w:type="character" w:customStyle="1" w:styleId="afa">
    <w:name w:val="Название объекта Знак"/>
    <w:aliases w:val="Caption Char Знак1,Caption Char1 Char Знак,Caption Char Char Char Знак,Caption Char1 Знак,Caption Char Char Знак,Caption Char2 Char Знак,Caption Char Char1 Char Знак,Caption Char1 Char Char Char Знак,Caption Char1 Char1 Char Знак"/>
    <w:link w:val="af9"/>
    <w:rsid w:val="00AB0AA9"/>
    <w:rPr>
      <w:rFonts w:ascii="Verdana" w:eastAsiaTheme="minorEastAsia" w:hAnsi="Verdana"/>
      <w:b/>
      <w:bCs/>
      <w:spacing w:val="6"/>
      <w:sz w:val="20"/>
      <w:lang w:eastAsia="ru-RU"/>
    </w:rPr>
  </w:style>
  <w:style w:type="paragraph" w:styleId="afb">
    <w:name w:val="Revision"/>
    <w:hidden/>
    <w:uiPriority w:val="99"/>
    <w:semiHidden/>
    <w:rsid w:val="00836240"/>
    <w:pPr>
      <w:spacing w:after="0" w:line="240" w:lineRule="auto"/>
    </w:pPr>
  </w:style>
  <w:style w:type="character" w:customStyle="1" w:styleId="4">
    <w:name w:val="Неразрешенное упоминание4"/>
    <w:basedOn w:val="a0"/>
    <w:uiPriority w:val="99"/>
    <w:semiHidden/>
    <w:unhideWhenUsed/>
    <w:rsid w:val="009D7F18"/>
    <w:rPr>
      <w:color w:val="605E5C"/>
      <w:shd w:val="clear" w:color="auto" w:fill="E1DFDD"/>
    </w:rPr>
  </w:style>
  <w:style w:type="character" w:customStyle="1" w:styleId="hl">
    <w:name w:val="hl"/>
    <w:basedOn w:val="a0"/>
    <w:rsid w:val="0045015D"/>
  </w:style>
  <w:style w:type="paragraph" w:customStyle="1" w:styleId="Default">
    <w:name w:val="Default"/>
    <w:rsid w:val="00170E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
    <w:name w:val="Неразрешенное упоминание5"/>
    <w:basedOn w:val="a0"/>
    <w:uiPriority w:val="99"/>
    <w:semiHidden/>
    <w:unhideWhenUsed/>
    <w:rsid w:val="00236413"/>
    <w:rPr>
      <w:color w:val="605E5C"/>
      <w:shd w:val="clear" w:color="auto" w:fill="E1DFDD"/>
    </w:rPr>
  </w:style>
  <w:style w:type="character" w:customStyle="1" w:styleId="31">
    <w:name w:val="Заголовок 3 Знак"/>
    <w:basedOn w:val="a0"/>
    <w:link w:val="30"/>
    <w:uiPriority w:val="9"/>
    <w:rsid w:val="006D6010"/>
    <w:rPr>
      <w:rFonts w:asciiTheme="majorHAnsi" w:eastAsiaTheme="majorEastAsia" w:hAnsiTheme="majorHAnsi" w:cstheme="majorBidi"/>
      <w:color w:val="1F3763" w:themeColor="accent1" w:themeShade="7F"/>
      <w:sz w:val="24"/>
      <w:szCs w:val="24"/>
    </w:rPr>
  </w:style>
  <w:style w:type="paragraph" w:customStyle="1" w:styleId="ConsPlusNormal">
    <w:name w:val="ConsPlusNormal"/>
    <w:rsid w:val="006D6010"/>
    <w:pPr>
      <w:widowControl w:val="0"/>
      <w:autoSpaceDE w:val="0"/>
      <w:autoSpaceDN w:val="0"/>
      <w:spacing w:after="0" w:line="240" w:lineRule="auto"/>
    </w:pPr>
    <w:rPr>
      <w:rFonts w:ascii="Calibri" w:eastAsia="Times New Roman" w:hAnsi="Calibri" w:cs="Calibri"/>
      <w:szCs w:val="20"/>
      <w:lang w:eastAsia="ru-RU"/>
    </w:rPr>
  </w:style>
  <w:style w:type="character" w:styleId="afc">
    <w:name w:val="Placeholder Text"/>
    <w:basedOn w:val="a0"/>
    <w:uiPriority w:val="99"/>
    <w:semiHidden/>
    <w:rsid w:val="006D6010"/>
    <w:rPr>
      <w:color w:val="808080"/>
    </w:rPr>
  </w:style>
  <w:style w:type="table" w:customStyle="1" w:styleId="14">
    <w:name w:val="Сетка таблицы1"/>
    <w:basedOn w:val="a1"/>
    <w:next w:val="af2"/>
    <w:uiPriority w:val="39"/>
    <w:rsid w:val="006D6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
    <w:next w:val="a"/>
    <w:autoRedefine/>
    <w:uiPriority w:val="39"/>
    <w:unhideWhenUsed/>
    <w:rsid w:val="006D6010"/>
    <w:pPr>
      <w:spacing w:after="100" w:line="276" w:lineRule="auto"/>
      <w:ind w:left="440"/>
    </w:pPr>
  </w:style>
  <w:style w:type="numbering" w:customStyle="1" w:styleId="1">
    <w:name w:val="Стиль1"/>
    <w:uiPriority w:val="99"/>
    <w:rsid w:val="00354113"/>
    <w:pPr>
      <w:numPr>
        <w:numId w:val="6"/>
      </w:numPr>
    </w:pPr>
  </w:style>
  <w:style w:type="numbering" w:customStyle="1" w:styleId="2">
    <w:name w:val="Стиль2"/>
    <w:uiPriority w:val="99"/>
    <w:rsid w:val="00354113"/>
    <w:pPr>
      <w:numPr>
        <w:numId w:val="8"/>
      </w:numPr>
    </w:pPr>
  </w:style>
  <w:style w:type="numbering" w:customStyle="1" w:styleId="3">
    <w:name w:val="Стиль3"/>
    <w:uiPriority w:val="99"/>
    <w:rsid w:val="00354113"/>
    <w:pPr>
      <w:numPr>
        <w:numId w:val="9"/>
      </w:numPr>
    </w:pPr>
  </w:style>
  <w:style w:type="paragraph" w:styleId="afd">
    <w:name w:val="Normal (Web)"/>
    <w:basedOn w:val="a"/>
    <w:uiPriority w:val="99"/>
    <w:unhideWhenUsed/>
    <w:rsid w:val="0017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Неразрешенное упоминание6"/>
    <w:basedOn w:val="a0"/>
    <w:uiPriority w:val="99"/>
    <w:semiHidden/>
    <w:unhideWhenUsed/>
    <w:rsid w:val="0060050A"/>
    <w:rPr>
      <w:color w:val="605E5C"/>
      <w:shd w:val="clear" w:color="auto" w:fill="E1DFDD"/>
    </w:rPr>
  </w:style>
  <w:style w:type="table" w:customStyle="1" w:styleId="34">
    <w:name w:val="Сетка таблицы3"/>
    <w:basedOn w:val="a1"/>
    <w:next w:val="af2"/>
    <w:uiPriority w:val="5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691">
      <w:bodyDiv w:val="1"/>
      <w:marLeft w:val="0"/>
      <w:marRight w:val="0"/>
      <w:marTop w:val="0"/>
      <w:marBottom w:val="0"/>
      <w:divBdr>
        <w:top w:val="none" w:sz="0" w:space="0" w:color="auto"/>
        <w:left w:val="none" w:sz="0" w:space="0" w:color="auto"/>
        <w:bottom w:val="none" w:sz="0" w:space="0" w:color="auto"/>
        <w:right w:val="none" w:sz="0" w:space="0" w:color="auto"/>
      </w:divBdr>
      <w:divsChild>
        <w:div w:id="1057973062">
          <w:marLeft w:val="446"/>
          <w:marRight w:val="0"/>
          <w:marTop w:val="0"/>
          <w:marBottom w:val="0"/>
          <w:divBdr>
            <w:top w:val="none" w:sz="0" w:space="0" w:color="auto"/>
            <w:left w:val="none" w:sz="0" w:space="0" w:color="auto"/>
            <w:bottom w:val="none" w:sz="0" w:space="0" w:color="auto"/>
            <w:right w:val="none" w:sz="0" w:space="0" w:color="auto"/>
          </w:divBdr>
        </w:div>
        <w:div w:id="1610553079">
          <w:marLeft w:val="446"/>
          <w:marRight w:val="0"/>
          <w:marTop w:val="0"/>
          <w:marBottom w:val="0"/>
          <w:divBdr>
            <w:top w:val="none" w:sz="0" w:space="0" w:color="auto"/>
            <w:left w:val="none" w:sz="0" w:space="0" w:color="auto"/>
            <w:bottom w:val="none" w:sz="0" w:space="0" w:color="auto"/>
            <w:right w:val="none" w:sz="0" w:space="0" w:color="auto"/>
          </w:divBdr>
        </w:div>
        <w:div w:id="2024359027">
          <w:marLeft w:val="446"/>
          <w:marRight w:val="0"/>
          <w:marTop w:val="0"/>
          <w:marBottom w:val="0"/>
          <w:divBdr>
            <w:top w:val="none" w:sz="0" w:space="0" w:color="auto"/>
            <w:left w:val="none" w:sz="0" w:space="0" w:color="auto"/>
            <w:bottom w:val="none" w:sz="0" w:space="0" w:color="auto"/>
            <w:right w:val="none" w:sz="0" w:space="0" w:color="auto"/>
          </w:divBdr>
        </w:div>
      </w:divsChild>
    </w:div>
    <w:div w:id="83651183">
      <w:bodyDiv w:val="1"/>
      <w:marLeft w:val="0"/>
      <w:marRight w:val="0"/>
      <w:marTop w:val="0"/>
      <w:marBottom w:val="0"/>
      <w:divBdr>
        <w:top w:val="none" w:sz="0" w:space="0" w:color="auto"/>
        <w:left w:val="none" w:sz="0" w:space="0" w:color="auto"/>
        <w:bottom w:val="none" w:sz="0" w:space="0" w:color="auto"/>
        <w:right w:val="none" w:sz="0" w:space="0" w:color="auto"/>
      </w:divBdr>
    </w:div>
    <w:div w:id="97993019">
      <w:bodyDiv w:val="1"/>
      <w:marLeft w:val="0"/>
      <w:marRight w:val="0"/>
      <w:marTop w:val="0"/>
      <w:marBottom w:val="0"/>
      <w:divBdr>
        <w:top w:val="none" w:sz="0" w:space="0" w:color="auto"/>
        <w:left w:val="none" w:sz="0" w:space="0" w:color="auto"/>
        <w:bottom w:val="none" w:sz="0" w:space="0" w:color="auto"/>
        <w:right w:val="none" w:sz="0" w:space="0" w:color="auto"/>
      </w:divBdr>
      <w:divsChild>
        <w:div w:id="478153533">
          <w:marLeft w:val="446"/>
          <w:marRight w:val="0"/>
          <w:marTop w:val="0"/>
          <w:marBottom w:val="0"/>
          <w:divBdr>
            <w:top w:val="none" w:sz="0" w:space="0" w:color="auto"/>
            <w:left w:val="none" w:sz="0" w:space="0" w:color="auto"/>
            <w:bottom w:val="none" w:sz="0" w:space="0" w:color="auto"/>
            <w:right w:val="none" w:sz="0" w:space="0" w:color="auto"/>
          </w:divBdr>
        </w:div>
        <w:div w:id="967203151">
          <w:marLeft w:val="446"/>
          <w:marRight w:val="0"/>
          <w:marTop w:val="0"/>
          <w:marBottom w:val="0"/>
          <w:divBdr>
            <w:top w:val="none" w:sz="0" w:space="0" w:color="auto"/>
            <w:left w:val="none" w:sz="0" w:space="0" w:color="auto"/>
            <w:bottom w:val="none" w:sz="0" w:space="0" w:color="auto"/>
            <w:right w:val="none" w:sz="0" w:space="0" w:color="auto"/>
          </w:divBdr>
        </w:div>
        <w:div w:id="1405644784">
          <w:marLeft w:val="446"/>
          <w:marRight w:val="0"/>
          <w:marTop w:val="0"/>
          <w:marBottom w:val="0"/>
          <w:divBdr>
            <w:top w:val="none" w:sz="0" w:space="0" w:color="auto"/>
            <w:left w:val="none" w:sz="0" w:space="0" w:color="auto"/>
            <w:bottom w:val="none" w:sz="0" w:space="0" w:color="auto"/>
            <w:right w:val="none" w:sz="0" w:space="0" w:color="auto"/>
          </w:divBdr>
        </w:div>
        <w:div w:id="1414619839">
          <w:marLeft w:val="446"/>
          <w:marRight w:val="0"/>
          <w:marTop w:val="0"/>
          <w:marBottom w:val="0"/>
          <w:divBdr>
            <w:top w:val="none" w:sz="0" w:space="0" w:color="auto"/>
            <w:left w:val="none" w:sz="0" w:space="0" w:color="auto"/>
            <w:bottom w:val="none" w:sz="0" w:space="0" w:color="auto"/>
            <w:right w:val="none" w:sz="0" w:space="0" w:color="auto"/>
          </w:divBdr>
        </w:div>
        <w:div w:id="1739087560">
          <w:marLeft w:val="446"/>
          <w:marRight w:val="0"/>
          <w:marTop w:val="0"/>
          <w:marBottom w:val="0"/>
          <w:divBdr>
            <w:top w:val="none" w:sz="0" w:space="0" w:color="auto"/>
            <w:left w:val="none" w:sz="0" w:space="0" w:color="auto"/>
            <w:bottom w:val="none" w:sz="0" w:space="0" w:color="auto"/>
            <w:right w:val="none" w:sz="0" w:space="0" w:color="auto"/>
          </w:divBdr>
        </w:div>
      </w:divsChild>
    </w:div>
    <w:div w:id="112286220">
      <w:bodyDiv w:val="1"/>
      <w:marLeft w:val="0"/>
      <w:marRight w:val="0"/>
      <w:marTop w:val="0"/>
      <w:marBottom w:val="0"/>
      <w:divBdr>
        <w:top w:val="none" w:sz="0" w:space="0" w:color="auto"/>
        <w:left w:val="none" w:sz="0" w:space="0" w:color="auto"/>
        <w:bottom w:val="none" w:sz="0" w:space="0" w:color="auto"/>
        <w:right w:val="none" w:sz="0" w:space="0" w:color="auto"/>
      </w:divBdr>
      <w:divsChild>
        <w:div w:id="42368657">
          <w:marLeft w:val="0"/>
          <w:marRight w:val="0"/>
          <w:marTop w:val="0"/>
          <w:marBottom w:val="0"/>
          <w:divBdr>
            <w:top w:val="none" w:sz="0" w:space="0" w:color="auto"/>
            <w:left w:val="none" w:sz="0" w:space="0" w:color="auto"/>
            <w:bottom w:val="none" w:sz="0" w:space="0" w:color="auto"/>
            <w:right w:val="none" w:sz="0" w:space="0" w:color="auto"/>
          </w:divBdr>
        </w:div>
        <w:div w:id="430778227">
          <w:marLeft w:val="0"/>
          <w:marRight w:val="0"/>
          <w:marTop w:val="0"/>
          <w:marBottom w:val="0"/>
          <w:divBdr>
            <w:top w:val="none" w:sz="0" w:space="0" w:color="auto"/>
            <w:left w:val="none" w:sz="0" w:space="0" w:color="auto"/>
            <w:bottom w:val="none" w:sz="0" w:space="0" w:color="auto"/>
            <w:right w:val="none" w:sz="0" w:space="0" w:color="auto"/>
          </w:divBdr>
        </w:div>
        <w:div w:id="437677411">
          <w:marLeft w:val="0"/>
          <w:marRight w:val="0"/>
          <w:marTop w:val="0"/>
          <w:marBottom w:val="0"/>
          <w:divBdr>
            <w:top w:val="none" w:sz="0" w:space="0" w:color="auto"/>
            <w:left w:val="none" w:sz="0" w:space="0" w:color="auto"/>
            <w:bottom w:val="none" w:sz="0" w:space="0" w:color="auto"/>
            <w:right w:val="none" w:sz="0" w:space="0" w:color="auto"/>
          </w:divBdr>
        </w:div>
        <w:div w:id="753628412">
          <w:marLeft w:val="0"/>
          <w:marRight w:val="0"/>
          <w:marTop w:val="0"/>
          <w:marBottom w:val="0"/>
          <w:divBdr>
            <w:top w:val="none" w:sz="0" w:space="0" w:color="auto"/>
            <w:left w:val="none" w:sz="0" w:space="0" w:color="auto"/>
            <w:bottom w:val="none" w:sz="0" w:space="0" w:color="auto"/>
            <w:right w:val="none" w:sz="0" w:space="0" w:color="auto"/>
          </w:divBdr>
        </w:div>
      </w:divsChild>
    </w:div>
    <w:div w:id="133136249">
      <w:bodyDiv w:val="1"/>
      <w:marLeft w:val="0"/>
      <w:marRight w:val="0"/>
      <w:marTop w:val="0"/>
      <w:marBottom w:val="0"/>
      <w:divBdr>
        <w:top w:val="none" w:sz="0" w:space="0" w:color="auto"/>
        <w:left w:val="none" w:sz="0" w:space="0" w:color="auto"/>
        <w:bottom w:val="none" w:sz="0" w:space="0" w:color="auto"/>
        <w:right w:val="none" w:sz="0" w:space="0" w:color="auto"/>
      </w:divBdr>
    </w:div>
    <w:div w:id="149179425">
      <w:bodyDiv w:val="1"/>
      <w:marLeft w:val="0"/>
      <w:marRight w:val="0"/>
      <w:marTop w:val="0"/>
      <w:marBottom w:val="0"/>
      <w:divBdr>
        <w:top w:val="none" w:sz="0" w:space="0" w:color="auto"/>
        <w:left w:val="none" w:sz="0" w:space="0" w:color="auto"/>
        <w:bottom w:val="none" w:sz="0" w:space="0" w:color="auto"/>
        <w:right w:val="none" w:sz="0" w:space="0" w:color="auto"/>
      </w:divBdr>
      <w:divsChild>
        <w:div w:id="100028258">
          <w:marLeft w:val="0"/>
          <w:marRight w:val="0"/>
          <w:marTop w:val="0"/>
          <w:marBottom w:val="0"/>
          <w:divBdr>
            <w:top w:val="none" w:sz="0" w:space="0" w:color="auto"/>
            <w:left w:val="none" w:sz="0" w:space="0" w:color="auto"/>
            <w:bottom w:val="none" w:sz="0" w:space="0" w:color="auto"/>
            <w:right w:val="none" w:sz="0" w:space="0" w:color="auto"/>
          </w:divBdr>
        </w:div>
        <w:div w:id="902064596">
          <w:marLeft w:val="0"/>
          <w:marRight w:val="0"/>
          <w:marTop w:val="0"/>
          <w:marBottom w:val="0"/>
          <w:divBdr>
            <w:top w:val="none" w:sz="0" w:space="0" w:color="auto"/>
            <w:left w:val="none" w:sz="0" w:space="0" w:color="auto"/>
            <w:bottom w:val="none" w:sz="0" w:space="0" w:color="auto"/>
            <w:right w:val="none" w:sz="0" w:space="0" w:color="auto"/>
          </w:divBdr>
        </w:div>
        <w:div w:id="1665933601">
          <w:marLeft w:val="0"/>
          <w:marRight w:val="0"/>
          <w:marTop w:val="0"/>
          <w:marBottom w:val="0"/>
          <w:divBdr>
            <w:top w:val="none" w:sz="0" w:space="0" w:color="auto"/>
            <w:left w:val="none" w:sz="0" w:space="0" w:color="auto"/>
            <w:bottom w:val="none" w:sz="0" w:space="0" w:color="auto"/>
            <w:right w:val="none" w:sz="0" w:space="0" w:color="auto"/>
          </w:divBdr>
        </w:div>
        <w:div w:id="2006087428">
          <w:marLeft w:val="0"/>
          <w:marRight w:val="0"/>
          <w:marTop w:val="0"/>
          <w:marBottom w:val="0"/>
          <w:divBdr>
            <w:top w:val="none" w:sz="0" w:space="0" w:color="auto"/>
            <w:left w:val="none" w:sz="0" w:space="0" w:color="auto"/>
            <w:bottom w:val="none" w:sz="0" w:space="0" w:color="auto"/>
            <w:right w:val="none" w:sz="0" w:space="0" w:color="auto"/>
          </w:divBdr>
        </w:div>
      </w:divsChild>
    </w:div>
    <w:div w:id="182210951">
      <w:bodyDiv w:val="1"/>
      <w:marLeft w:val="0"/>
      <w:marRight w:val="0"/>
      <w:marTop w:val="0"/>
      <w:marBottom w:val="0"/>
      <w:divBdr>
        <w:top w:val="none" w:sz="0" w:space="0" w:color="auto"/>
        <w:left w:val="none" w:sz="0" w:space="0" w:color="auto"/>
        <w:bottom w:val="none" w:sz="0" w:space="0" w:color="auto"/>
        <w:right w:val="none" w:sz="0" w:space="0" w:color="auto"/>
      </w:divBdr>
    </w:div>
    <w:div w:id="187330237">
      <w:bodyDiv w:val="1"/>
      <w:marLeft w:val="0"/>
      <w:marRight w:val="0"/>
      <w:marTop w:val="0"/>
      <w:marBottom w:val="0"/>
      <w:divBdr>
        <w:top w:val="none" w:sz="0" w:space="0" w:color="auto"/>
        <w:left w:val="none" w:sz="0" w:space="0" w:color="auto"/>
        <w:bottom w:val="none" w:sz="0" w:space="0" w:color="auto"/>
        <w:right w:val="none" w:sz="0" w:space="0" w:color="auto"/>
      </w:divBdr>
    </w:div>
    <w:div w:id="258223622">
      <w:bodyDiv w:val="1"/>
      <w:marLeft w:val="0"/>
      <w:marRight w:val="0"/>
      <w:marTop w:val="0"/>
      <w:marBottom w:val="0"/>
      <w:divBdr>
        <w:top w:val="none" w:sz="0" w:space="0" w:color="auto"/>
        <w:left w:val="none" w:sz="0" w:space="0" w:color="auto"/>
        <w:bottom w:val="none" w:sz="0" w:space="0" w:color="auto"/>
        <w:right w:val="none" w:sz="0" w:space="0" w:color="auto"/>
      </w:divBdr>
    </w:div>
    <w:div w:id="264312196">
      <w:bodyDiv w:val="1"/>
      <w:marLeft w:val="0"/>
      <w:marRight w:val="0"/>
      <w:marTop w:val="0"/>
      <w:marBottom w:val="0"/>
      <w:divBdr>
        <w:top w:val="none" w:sz="0" w:space="0" w:color="auto"/>
        <w:left w:val="none" w:sz="0" w:space="0" w:color="auto"/>
        <w:bottom w:val="none" w:sz="0" w:space="0" w:color="auto"/>
        <w:right w:val="none" w:sz="0" w:space="0" w:color="auto"/>
      </w:divBdr>
    </w:div>
    <w:div w:id="284696122">
      <w:bodyDiv w:val="1"/>
      <w:marLeft w:val="0"/>
      <w:marRight w:val="0"/>
      <w:marTop w:val="0"/>
      <w:marBottom w:val="0"/>
      <w:divBdr>
        <w:top w:val="none" w:sz="0" w:space="0" w:color="auto"/>
        <w:left w:val="none" w:sz="0" w:space="0" w:color="auto"/>
        <w:bottom w:val="none" w:sz="0" w:space="0" w:color="auto"/>
        <w:right w:val="none" w:sz="0" w:space="0" w:color="auto"/>
      </w:divBdr>
      <w:divsChild>
        <w:div w:id="561214401">
          <w:marLeft w:val="0"/>
          <w:marRight w:val="0"/>
          <w:marTop w:val="0"/>
          <w:marBottom w:val="0"/>
          <w:divBdr>
            <w:top w:val="none" w:sz="0" w:space="0" w:color="auto"/>
            <w:left w:val="none" w:sz="0" w:space="0" w:color="auto"/>
            <w:bottom w:val="none" w:sz="0" w:space="0" w:color="auto"/>
            <w:right w:val="none" w:sz="0" w:space="0" w:color="auto"/>
          </w:divBdr>
        </w:div>
        <w:div w:id="1308439441">
          <w:marLeft w:val="0"/>
          <w:marRight w:val="0"/>
          <w:marTop w:val="0"/>
          <w:marBottom w:val="0"/>
          <w:divBdr>
            <w:top w:val="none" w:sz="0" w:space="0" w:color="auto"/>
            <w:left w:val="none" w:sz="0" w:space="0" w:color="auto"/>
            <w:bottom w:val="none" w:sz="0" w:space="0" w:color="auto"/>
            <w:right w:val="none" w:sz="0" w:space="0" w:color="auto"/>
          </w:divBdr>
        </w:div>
        <w:div w:id="1491406157">
          <w:marLeft w:val="0"/>
          <w:marRight w:val="0"/>
          <w:marTop w:val="0"/>
          <w:marBottom w:val="0"/>
          <w:divBdr>
            <w:top w:val="none" w:sz="0" w:space="0" w:color="auto"/>
            <w:left w:val="none" w:sz="0" w:space="0" w:color="auto"/>
            <w:bottom w:val="none" w:sz="0" w:space="0" w:color="auto"/>
            <w:right w:val="none" w:sz="0" w:space="0" w:color="auto"/>
          </w:divBdr>
        </w:div>
        <w:div w:id="1821846822">
          <w:marLeft w:val="0"/>
          <w:marRight w:val="0"/>
          <w:marTop w:val="0"/>
          <w:marBottom w:val="0"/>
          <w:divBdr>
            <w:top w:val="none" w:sz="0" w:space="0" w:color="auto"/>
            <w:left w:val="none" w:sz="0" w:space="0" w:color="auto"/>
            <w:bottom w:val="none" w:sz="0" w:space="0" w:color="auto"/>
            <w:right w:val="none" w:sz="0" w:space="0" w:color="auto"/>
          </w:divBdr>
        </w:div>
      </w:divsChild>
    </w:div>
    <w:div w:id="295529099">
      <w:bodyDiv w:val="1"/>
      <w:marLeft w:val="0"/>
      <w:marRight w:val="0"/>
      <w:marTop w:val="0"/>
      <w:marBottom w:val="0"/>
      <w:divBdr>
        <w:top w:val="none" w:sz="0" w:space="0" w:color="auto"/>
        <w:left w:val="none" w:sz="0" w:space="0" w:color="auto"/>
        <w:bottom w:val="none" w:sz="0" w:space="0" w:color="auto"/>
        <w:right w:val="none" w:sz="0" w:space="0" w:color="auto"/>
      </w:divBdr>
    </w:div>
    <w:div w:id="308676412">
      <w:bodyDiv w:val="1"/>
      <w:marLeft w:val="0"/>
      <w:marRight w:val="0"/>
      <w:marTop w:val="0"/>
      <w:marBottom w:val="0"/>
      <w:divBdr>
        <w:top w:val="none" w:sz="0" w:space="0" w:color="auto"/>
        <w:left w:val="none" w:sz="0" w:space="0" w:color="auto"/>
        <w:bottom w:val="none" w:sz="0" w:space="0" w:color="auto"/>
        <w:right w:val="none" w:sz="0" w:space="0" w:color="auto"/>
      </w:divBdr>
      <w:divsChild>
        <w:div w:id="201402135">
          <w:marLeft w:val="0"/>
          <w:marRight w:val="0"/>
          <w:marTop w:val="0"/>
          <w:marBottom w:val="0"/>
          <w:divBdr>
            <w:top w:val="none" w:sz="0" w:space="0" w:color="auto"/>
            <w:left w:val="none" w:sz="0" w:space="0" w:color="auto"/>
            <w:bottom w:val="none" w:sz="0" w:space="0" w:color="auto"/>
            <w:right w:val="none" w:sz="0" w:space="0" w:color="auto"/>
          </w:divBdr>
        </w:div>
        <w:div w:id="615256422">
          <w:marLeft w:val="0"/>
          <w:marRight w:val="0"/>
          <w:marTop w:val="0"/>
          <w:marBottom w:val="0"/>
          <w:divBdr>
            <w:top w:val="none" w:sz="0" w:space="0" w:color="auto"/>
            <w:left w:val="none" w:sz="0" w:space="0" w:color="auto"/>
            <w:bottom w:val="none" w:sz="0" w:space="0" w:color="auto"/>
            <w:right w:val="none" w:sz="0" w:space="0" w:color="auto"/>
          </w:divBdr>
        </w:div>
        <w:div w:id="725226248">
          <w:marLeft w:val="0"/>
          <w:marRight w:val="0"/>
          <w:marTop w:val="0"/>
          <w:marBottom w:val="0"/>
          <w:divBdr>
            <w:top w:val="none" w:sz="0" w:space="0" w:color="auto"/>
            <w:left w:val="none" w:sz="0" w:space="0" w:color="auto"/>
            <w:bottom w:val="none" w:sz="0" w:space="0" w:color="auto"/>
            <w:right w:val="none" w:sz="0" w:space="0" w:color="auto"/>
          </w:divBdr>
        </w:div>
      </w:divsChild>
    </w:div>
    <w:div w:id="334236452">
      <w:bodyDiv w:val="1"/>
      <w:marLeft w:val="0"/>
      <w:marRight w:val="0"/>
      <w:marTop w:val="0"/>
      <w:marBottom w:val="0"/>
      <w:divBdr>
        <w:top w:val="none" w:sz="0" w:space="0" w:color="auto"/>
        <w:left w:val="none" w:sz="0" w:space="0" w:color="auto"/>
        <w:bottom w:val="none" w:sz="0" w:space="0" w:color="auto"/>
        <w:right w:val="none" w:sz="0" w:space="0" w:color="auto"/>
      </w:divBdr>
      <w:divsChild>
        <w:div w:id="481124589">
          <w:marLeft w:val="0"/>
          <w:marRight w:val="0"/>
          <w:marTop w:val="0"/>
          <w:marBottom w:val="0"/>
          <w:divBdr>
            <w:top w:val="none" w:sz="0" w:space="0" w:color="auto"/>
            <w:left w:val="none" w:sz="0" w:space="0" w:color="auto"/>
            <w:bottom w:val="none" w:sz="0" w:space="0" w:color="auto"/>
            <w:right w:val="none" w:sz="0" w:space="0" w:color="auto"/>
          </w:divBdr>
        </w:div>
        <w:div w:id="1013914711">
          <w:marLeft w:val="0"/>
          <w:marRight w:val="0"/>
          <w:marTop w:val="0"/>
          <w:marBottom w:val="0"/>
          <w:divBdr>
            <w:top w:val="none" w:sz="0" w:space="0" w:color="auto"/>
            <w:left w:val="none" w:sz="0" w:space="0" w:color="auto"/>
            <w:bottom w:val="none" w:sz="0" w:space="0" w:color="auto"/>
            <w:right w:val="none" w:sz="0" w:space="0" w:color="auto"/>
          </w:divBdr>
        </w:div>
        <w:div w:id="1056975892">
          <w:marLeft w:val="0"/>
          <w:marRight w:val="0"/>
          <w:marTop w:val="0"/>
          <w:marBottom w:val="0"/>
          <w:divBdr>
            <w:top w:val="none" w:sz="0" w:space="0" w:color="auto"/>
            <w:left w:val="none" w:sz="0" w:space="0" w:color="auto"/>
            <w:bottom w:val="none" w:sz="0" w:space="0" w:color="auto"/>
            <w:right w:val="none" w:sz="0" w:space="0" w:color="auto"/>
          </w:divBdr>
        </w:div>
        <w:div w:id="1681346173">
          <w:marLeft w:val="0"/>
          <w:marRight w:val="0"/>
          <w:marTop w:val="0"/>
          <w:marBottom w:val="0"/>
          <w:divBdr>
            <w:top w:val="none" w:sz="0" w:space="0" w:color="auto"/>
            <w:left w:val="none" w:sz="0" w:space="0" w:color="auto"/>
            <w:bottom w:val="none" w:sz="0" w:space="0" w:color="auto"/>
            <w:right w:val="none" w:sz="0" w:space="0" w:color="auto"/>
          </w:divBdr>
        </w:div>
      </w:divsChild>
    </w:div>
    <w:div w:id="356084019">
      <w:bodyDiv w:val="1"/>
      <w:marLeft w:val="0"/>
      <w:marRight w:val="0"/>
      <w:marTop w:val="0"/>
      <w:marBottom w:val="0"/>
      <w:divBdr>
        <w:top w:val="none" w:sz="0" w:space="0" w:color="auto"/>
        <w:left w:val="none" w:sz="0" w:space="0" w:color="auto"/>
        <w:bottom w:val="none" w:sz="0" w:space="0" w:color="auto"/>
        <w:right w:val="none" w:sz="0" w:space="0" w:color="auto"/>
      </w:divBdr>
    </w:div>
    <w:div w:id="396706222">
      <w:bodyDiv w:val="1"/>
      <w:marLeft w:val="0"/>
      <w:marRight w:val="0"/>
      <w:marTop w:val="0"/>
      <w:marBottom w:val="0"/>
      <w:divBdr>
        <w:top w:val="none" w:sz="0" w:space="0" w:color="auto"/>
        <w:left w:val="none" w:sz="0" w:space="0" w:color="auto"/>
        <w:bottom w:val="none" w:sz="0" w:space="0" w:color="auto"/>
        <w:right w:val="none" w:sz="0" w:space="0" w:color="auto"/>
      </w:divBdr>
      <w:divsChild>
        <w:div w:id="243221154">
          <w:marLeft w:val="0"/>
          <w:marRight w:val="0"/>
          <w:marTop w:val="0"/>
          <w:marBottom w:val="0"/>
          <w:divBdr>
            <w:top w:val="none" w:sz="0" w:space="0" w:color="auto"/>
            <w:left w:val="none" w:sz="0" w:space="0" w:color="auto"/>
            <w:bottom w:val="none" w:sz="0" w:space="0" w:color="auto"/>
            <w:right w:val="none" w:sz="0" w:space="0" w:color="auto"/>
          </w:divBdr>
        </w:div>
        <w:div w:id="447743847">
          <w:marLeft w:val="0"/>
          <w:marRight w:val="0"/>
          <w:marTop w:val="0"/>
          <w:marBottom w:val="0"/>
          <w:divBdr>
            <w:top w:val="none" w:sz="0" w:space="0" w:color="auto"/>
            <w:left w:val="none" w:sz="0" w:space="0" w:color="auto"/>
            <w:bottom w:val="none" w:sz="0" w:space="0" w:color="auto"/>
            <w:right w:val="none" w:sz="0" w:space="0" w:color="auto"/>
          </w:divBdr>
        </w:div>
        <w:div w:id="1610553289">
          <w:marLeft w:val="0"/>
          <w:marRight w:val="0"/>
          <w:marTop w:val="0"/>
          <w:marBottom w:val="0"/>
          <w:divBdr>
            <w:top w:val="none" w:sz="0" w:space="0" w:color="auto"/>
            <w:left w:val="none" w:sz="0" w:space="0" w:color="auto"/>
            <w:bottom w:val="none" w:sz="0" w:space="0" w:color="auto"/>
            <w:right w:val="none" w:sz="0" w:space="0" w:color="auto"/>
          </w:divBdr>
        </w:div>
        <w:div w:id="1679886536">
          <w:marLeft w:val="0"/>
          <w:marRight w:val="0"/>
          <w:marTop w:val="0"/>
          <w:marBottom w:val="0"/>
          <w:divBdr>
            <w:top w:val="none" w:sz="0" w:space="0" w:color="auto"/>
            <w:left w:val="none" w:sz="0" w:space="0" w:color="auto"/>
            <w:bottom w:val="none" w:sz="0" w:space="0" w:color="auto"/>
            <w:right w:val="none" w:sz="0" w:space="0" w:color="auto"/>
          </w:divBdr>
        </w:div>
        <w:div w:id="1772388280">
          <w:marLeft w:val="0"/>
          <w:marRight w:val="0"/>
          <w:marTop w:val="0"/>
          <w:marBottom w:val="0"/>
          <w:divBdr>
            <w:top w:val="none" w:sz="0" w:space="0" w:color="auto"/>
            <w:left w:val="none" w:sz="0" w:space="0" w:color="auto"/>
            <w:bottom w:val="none" w:sz="0" w:space="0" w:color="auto"/>
            <w:right w:val="none" w:sz="0" w:space="0" w:color="auto"/>
          </w:divBdr>
        </w:div>
        <w:div w:id="1916864063">
          <w:marLeft w:val="0"/>
          <w:marRight w:val="0"/>
          <w:marTop w:val="0"/>
          <w:marBottom w:val="0"/>
          <w:divBdr>
            <w:top w:val="none" w:sz="0" w:space="0" w:color="auto"/>
            <w:left w:val="none" w:sz="0" w:space="0" w:color="auto"/>
            <w:bottom w:val="none" w:sz="0" w:space="0" w:color="auto"/>
            <w:right w:val="none" w:sz="0" w:space="0" w:color="auto"/>
          </w:divBdr>
        </w:div>
      </w:divsChild>
    </w:div>
    <w:div w:id="554397102">
      <w:bodyDiv w:val="1"/>
      <w:marLeft w:val="0"/>
      <w:marRight w:val="0"/>
      <w:marTop w:val="0"/>
      <w:marBottom w:val="0"/>
      <w:divBdr>
        <w:top w:val="none" w:sz="0" w:space="0" w:color="auto"/>
        <w:left w:val="none" w:sz="0" w:space="0" w:color="auto"/>
        <w:bottom w:val="none" w:sz="0" w:space="0" w:color="auto"/>
        <w:right w:val="none" w:sz="0" w:space="0" w:color="auto"/>
      </w:divBdr>
      <w:divsChild>
        <w:div w:id="64375538">
          <w:marLeft w:val="547"/>
          <w:marRight w:val="0"/>
          <w:marTop w:val="144"/>
          <w:marBottom w:val="0"/>
          <w:divBdr>
            <w:top w:val="none" w:sz="0" w:space="0" w:color="auto"/>
            <w:left w:val="none" w:sz="0" w:space="0" w:color="auto"/>
            <w:bottom w:val="none" w:sz="0" w:space="0" w:color="auto"/>
            <w:right w:val="none" w:sz="0" w:space="0" w:color="auto"/>
          </w:divBdr>
        </w:div>
        <w:div w:id="174615016">
          <w:marLeft w:val="547"/>
          <w:marRight w:val="0"/>
          <w:marTop w:val="144"/>
          <w:marBottom w:val="0"/>
          <w:divBdr>
            <w:top w:val="none" w:sz="0" w:space="0" w:color="auto"/>
            <w:left w:val="none" w:sz="0" w:space="0" w:color="auto"/>
            <w:bottom w:val="none" w:sz="0" w:space="0" w:color="auto"/>
            <w:right w:val="none" w:sz="0" w:space="0" w:color="auto"/>
          </w:divBdr>
        </w:div>
        <w:div w:id="1581595560">
          <w:marLeft w:val="547"/>
          <w:marRight w:val="0"/>
          <w:marTop w:val="144"/>
          <w:marBottom w:val="0"/>
          <w:divBdr>
            <w:top w:val="none" w:sz="0" w:space="0" w:color="auto"/>
            <w:left w:val="none" w:sz="0" w:space="0" w:color="auto"/>
            <w:bottom w:val="none" w:sz="0" w:space="0" w:color="auto"/>
            <w:right w:val="none" w:sz="0" w:space="0" w:color="auto"/>
          </w:divBdr>
        </w:div>
        <w:div w:id="1665091189">
          <w:marLeft w:val="547"/>
          <w:marRight w:val="0"/>
          <w:marTop w:val="144"/>
          <w:marBottom w:val="0"/>
          <w:divBdr>
            <w:top w:val="none" w:sz="0" w:space="0" w:color="auto"/>
            <w:left w:val="none" w:sz="0" w:space="0" w:color="auto"/>
            <w:bottom w:val="none" w:sz="0" w:space="0" w:color="auto"/>
            <w:right w:val="none" w:sz="0" w:space="0" w:color="auto"/>
          </w:divBdr>
        </w:div>
      </w:divsChild>
    </w:div>
    <w:div w:id="618726380">
      <w:bodyDiv w:val="1"/>
      <w:marLeft w:val="0"/>
      <w:marRight w:val="0"/>
      <w:marTop w:val="0"/>
      <w:marBottom w:val="0"/>
      <w:divBdr>
        <w:top w:val="none" w:sz="0" w:space="0" w:color="auto"/>
        <w:left w:val="none" w:sz="0" w:space="0" w:color="auto"/>
        <w:bottom w:val="none" w:sz="0" w:space="0" w:color="auto"/>
        <w:right w:val="none" w:sz="0" w:space="0" w:color="auto"/>
      </w:divBdr>
      <w:divsChild>
        <w:div w:id="428477051">
          <w:marLeft w:val="0"/>
          <w:marRight w:val="0"/>
          <w:marTop w:val="0"/>
          <w:marBottom w:val="0"/>
          <w:divBdr>
            <w:top w:val="none" w:sz="0" w:space="0" w:color="auto"/>
            <w:left w:val="none" w:sz="0" w:space="0" w:color="auto"/>
            <w:bottom w:val="none" w:sz="0" w:space="0" w:color="auto"/>
            <w:right w:val="none" w:sz="0" w:space="0" w:color="auto"/>
          </w:divBdr>
        </w:div>
      </w:divsChild>
    </w:div>
    <w:div w:id="642974475">
      <w:bodyDiv w:val="1"/>
      <w:marLeft w:val="0"/>
      <w:marRight w:val="0"/>
      <w:marTop w:val="0"/>
      <w:marBottom w:val="0"/>
      <w:divBdr>
        <w:top w:val="none" w:sz="0" w:space="0" w:color="auto"/>
        <w:left w:val="none" w:sz="0" w:space="0" w:color="auto"/>
        <w:bottom w:val="none" w:sz="0" w:space="0" w:color="auto"/>
        <w:right w:val="none" w:sz="0" w:space="0" w:color="auto"/>
      </w:divBdr>
    </w:div>
    <w:div w:id="682559168">
      <w:bodyDiv w:val="1"/>
      <w:marLeft w:val="0"/>
      <w:marRight w:val="0"/>
      <w:marTop w:val="0"/>
      <w:marBottom w:val="0"/>
      <w:divBdr>
        <w:top w:val="none" w:sz="0" w:space="0" w:color="auto"/>
        <w:left w:val="none" w:sz="0" w:space="0" w:color="auto"/>
        <w:bottom w:val="none" w:sz="0" w:space="0" w:color="auto"/>
        <w:right w:val="none" w:sz="0" w:space="0" w:color="auto"/>
      </w:divBdr>
      <w:divsChild>
        <w:div w:id="443423864">
          <w:marLeft w:val="0"/>
          <w:marRight w:val="0"/>
          <w:marTop w:val="192"/>
          <w:marBottom w:val="0"/>
          <w:divBdr>
            <w:top w:val="none" w:sz="0" w:space="0" w:color="auto"/>
            <w:left w:val="none" w:sz="0" w:space="0" w:color="auto"/>
            <w:bottom w:val="none" w:sz="0" w:space="0" w:color="auto"/>
            <w:right w:val="none" w:sz="0" w:space="0" w:color="auto"/>
          </w:divBdr>
        </w:div>
        <w:div w:id="1579512514">
          <w:marLeft w:val="0"/>
          <w:marRight w:val="0"/>
          <w:marTop w:val="192"/>
          <w:marBottom w:val="0"/>
          <w:divBdr>
            <w:top w:val="none" w:sz="0" w:space="0" w:color="auto"/>
            <w:left w:val="none" w:sz="0" w:space="0" w:color="auto"/>
            <w:bottom w:val="none" w:sz="0" w:space="0" w:color="auto"/>
            <w:right w:val="none" w:sz="0" w:space="0" w:color="auto"/>
          </w:divBdr>
        </w:div>
        <w:div w:id="2041592311">
          <w:marLeft w:val="0"/>
          <w:marRight w:val="0"/>
          <w:marTop w:val="192"/>
          <w:marBottom w:val="0"/>
          <w:divBdr>
            <w:top w:val="none" w:sz="0" w:space="0" w:color="auto"/>
            <w:left w:val="none" w:sz="0" w:space="0" w:color="auto"/>
            <w:bottom w:val="none" w:sz="0" w:space="0" w:color="auto"/>
            <w:right w:val="none" w:sz="0" w:space="0" w:color="auto"/>
          </w:divBdr>
        </w:div>
      </w:divsChild>
    </w:div>
    <w:div w:id="695077802">
      <w:bodyDiv w:val="1"/>
      <w:marLeft w:val="0"/>
      <w:marRight w:val="0"/>
      <w:marTop w:val="0"/>
      <w:marBottom w:val="0"/>
      <w:divBdr>
        <w:top w:val="none" w:sz="0" w:space="0" w:color="auto"/>
        <w:left w:val="none" w:sz="0" w:space="0" w:color="auto"/>
        <w:bottom w:val="none" w:sz="0" w:space="0" w:color="auto"/>
        <w:right w:val="none" w:sz="0" w:space="0" w:color="auto"/>
      </w:divBdr>
      <w:divsChild>
        <w:div w:id="1082677857">
          <w:marLeft w:val="547"/>
          <w:marRight w:val="0"/>
          <w:marTop w:val="120"/>
          <w:marBottom w:val="0"/>
          <w:divBdr>
            <w:top w:val="none" w:sz="0" w:space="0" w:color="auto"/>
            <w:left w:val="none" w:sz="0" w:space="0" w:color="auto"/>
            <w:bottom w:val="none" w:sz="0" w:space="0" w:color="auto"/>
            <w:right w:val="none" w:sz="0" w:space="0" w:color="auto"/>
          </w:divBdr>
        </w:div>
        <w:div w:id="1479301985">
          <w:marLeft w:val="547"/>
          <w:marRight w:val="0"/>
          <w:marTop w:val="120"/>
          <w:marBottom w:val="0"/>
          <w:divBdr>
            <w:top w:val="none" w:sz="0" w:space="0" w:color="auto"/>
            <w:left w:val="none" w:sz="0" w:space="0" w:color="auto"/>
            <w:bottom w:val="none" w:sz="0" w:space="0" w:color="auto"/>
            <w:right w:val="none" w:sz="0" w:space="0" w:color="auto"/>
          </w:divBdr>
        </w:div>
        <w:div w:id="1831408539">
          <w:marLeft w:val="547"/>
          <w:marRight w:val="0"/>
          <w:marTop w:val="120"/>
          <w:marBottom w:val="0"/>
          <w:divBdr>
            <w:top w:val="none" w:sz="0" w:space="0" w:color="auto"/>
            <w:left w:val="none" w:sz="0" w:space="0" w:color="auto"/>
            <w:bottom w:val="none" w:sz="0" w:space="0" w:color="auto"/>
            <w:right w:val="none" w:sz="0" w:space="0" w:color="auto"/>
          </w:divBdr>
        </w:div>
        <w:div w:id="2057389799">
          <w:marLeft w:val="547"/>
          <w:marRight w:val="0"/>
          <w:marTop w:val="120"/>
          <w:marBottom w:val="0"/>
          <w:divBdr>
            <w:top w:val="none" w:sz="0" w:space="0" w:color="auto"/>
            <w:left w:val="none" w:sz="0" w:space="0" w:color="auto"/>
            <w:bottom w:val="none" w:sz="0" w:space="0" w:color="auto"/>
            <w:right w:val="none" w:sz="0" w:space="0" w:color="auto"/>
          </w:divBdr>
        </w:div>
      </w:divsChild>
    </w:div>
    <w:div w:id="699551038">
      <w:bodyDiv w:val="1"/>
      <w:marLeft w:val="0"/>
      <w:marRight w:val="0"/>
      <w:marTop w:val="0"/>
      <w:marBottom w:val="0"/>
      <w:divBdr>
        <w:top w:val="none" w:sz="0" w:space="0" w:color="auto"/>
        <w:left w:val="none" w:sz="0" w:space="0" w:color="auto"/>
        <w:bottom w:val="none" w:sz="0" w:space="0" w:color="auto"/>
        <w:right w:val="none" w:sz="0" w:space="0" w:color="auto"/>
      </w:divBdr>
    </w:div>
    <w:div w:id="782963009">
      <w:bodyDiv w:val="1"/>
      <w:marLeft w:val="0"/>
      <w:marRight w:val="0"/>
      <w:marTop w:val="0"/>
      <w:marBottom w:val="0"/>
      <w:divBdr>
        <w:top w:val="none" w:sz="0" w:space="0" w:color="auto"/>
        <w:left w:val="none" w:sz="0" w:space="0" w:color="auto"/>
        <w:bottom w:val="none" w:sz="0" w:space="0" w:color="auto"/>
        <w:right w:val="none" w:sz="0" w:space="0" w:color="auto"/>
      </w:divBdr>
    </w:div>
    <w:div w:id="786046579">
      <w:bodyDiv w:val="1"/>
      <w:marLeft w:val="0"/>
      <w:marRight w:val="0"/>
      <w:marTop w:val="0"/>
      <w:marBottom w:val="0"/>
      <w:divBdr>
        <w:top w:val="none" w:sz="0" w:space="0" w:color="auto"/>
        <w:left w:val="none" w:sz="0" w:space="0" w:color="auto"/>
        <w:bottom w:val="none" w:sz="0" w:space="0" w:color="auto"/>
        <w:right w:val="none" w:sz="0" w:space="0" w:color="auto"/>
      </w:divBdr>
    </w:div>
    <w:div w:id="798106334">
      <w:bodyDiv w:val="1"/>
      <w:marLeft w:val="0"/>
      <w:marRight w:val="0"/>
      <w:marTop w:val="0"/>
      <w:marBottom w:val="0"/>
      <w:divBdr>
        <w:top w:val="none" w:sz="0" w:space="0" w:color="auto"/>
        <w:left w:val="none" w:sz="0" w:space="0" w:color="auto"/>
        <w:bottom w:val="none" w:sz="0" w:space="0" w:color="auto"/>
        <w:right w:val="none" w:sz="0" w:space="0" w:color="auto"/>
      </w:divBdr>
    </w:div>
    <w:div w:id="849636245">
      <w:bodyDiv w:val="1"/>
      <w:marLeft w:val="0"/>
      <w:marRight w:val="0"/>
      <w:marTop w:val="0"/>
      <w:marBottom w:val="0"/>
      <w:divBdr>
        <w:top w:val="none" w:sz="0" w:space="0" w:color="auto"/>
        <w:left w:val="none" w:sz="0" w:space="0" w:color="auto"/>
        <w:bottom w:val="none" w:sz="0" w:space="0" w:color="auto"/>
        <w:right w:val="none" w:sz="0" w:space="0" w:color="auto"/>
      </w:divBdr>
      <w:divsChild>
        <w:div w:id="465314079">
          <w:marLeft w:val="0"/>
          <w:marRight w:val="0"/>
          <w:marTop w:val="0"/>
          <w:marBottom w:val="0"/>
          <w:divBdr>
            <w:top w:val="none" w:sz="0" w:space="0" w:color="auto"/>
            <w:left w:val="none" w:sz="0" w:space="0" w:color="auto"/>
            <w:bottom w:val="none" w:sz="0" w:space="0" w:color="auto"/>
            <w:right w:val="none" w:sz="0" w:space="0" w:color="auto"/>
          </w:divBdr>
        </w:div>
        <w:div w:id="478963610">
          <w:marLeft w:val="0"/>
          <w:marRight w:val="0"/>
          <w:marTop w:val="0"/>
          <w:marBottom w:val="0"/>
          <w:divBdr>
            <w:top w:val="none" w:sz="0" w:space="0" w:color="auto"/>
            <w:left w:val="none" w:sz="0" w:space="0" w:color="auto"/>
            <w:bottom w:val="none" w:sz="0" w:space="0" w:color="auto"/>
            <w:right w:val="none" w:sz="0" w:space="0" w:color="auto"/>
          </w:divBdr>
        </w:div>
        <w:div w:id="736435737">
          <w:marLeft w:val="0"/>
          <w:marRight w:val="0"/>
          <w:marTop w:val="0"/>
          <w:marBottom w:val="0"/>
          <w:divBdr>
            <w:top w:val="none" w:sz="0" w:space="0" w:color="auto"/>
            <w:left w:val="none" w:sz="0" w:space="0" w:color="auto"/>
            <w:bottom w:val="none" w:sz="0" w:space="0" w:color="auto"/>
            <w:right w:val="none" w:sz="0" w:space="0" w:color="auto"/>
          </w:divBdr>
        </w:div>
        <w:div w:id="962464055">
          <w:marLeft w:val="0"/>
          <w:marRight w:val="0"/>
          <w:marTop w:val="0"/>
          <w:marBottom w:val="0"/>
          <w:divBdr>
            <w:top w:val="none" w:sz="0" w:space="0" w:color="auto"/>
            <w:left w:val="none" w:sz="0" w:space="0" w:color="auto"/>
            <w:bottom w:val="none" w:sz="0" w:space="0" w:color="auto"/>
            <w:right w:val="none" w:sz="0" w:space="0" w:color="auto"/>
          </w:divBdr>
        </w:div>
        <w:div w:id="1067414013">
          <w:marLeft w:val="0"/>
          <w:marRight w:val="0"/>
          <w:marTop w:val="0"/>
          <w:marBottom w:val="0"/>
          <w:divBdr>
            <w:top w:val="none" w:sz="0" w:space="0" w:color="auto"/>
            <w:left w:val="none" w:sz="0" w:space="0" w:color="auto"/>
            <w:bottom w:val="none" w:sz="0" w:space="0" w:color="auto"/>
            <w:right w:val="none" w:sz="0" w:space="0" w:color="auto"/>
          </w:divBdr>
        </w:div>
        <w:div w:id="1191725668">
          <w:marLeft w:val="0"/>
          <w:marRight w:val="0"/>
          <w:marTop w:val="0"/>
          <w:marBottom w:val="0"/>
          <w:divBdr>
            <w:top w:val="none" w:sz="0" w:space="0" w:color="auto"/>
            <w:left w:val="none" w:sz="0" w:space="0" w:color="auto"/>
            <w:bottom w:val="none" w:sz="0" w:space="0" w:color="auto"/>
            <w:right w:val="none" w:sz="0" w:space="0" w:color="auto"/>
          </w:divBdr>
        </w:div>
        <w:div w:id="1514219851">
          <w:marLeft w:val="0"/>
          <w:marRight w:val="0"/>
          <w:marTop w:val="0"/>
          <w:marBottom w:val="0"/>
          <w:divBdr>
            <w:top w:val="none" w:sz="0" w:space="0" w:color="auto"/>
            <w:left w:val="none" w:sz="0" w:space="0" w:color="auto"/>
            <w:bottom w:val="none" w:sz="0" w:space="0" w:color="auto"/>
            <w:right w:val="none" w:sz="0" w:space="0" w:color="auto"/>
          </w:divBdr>
        </w:div>
        <w:div w:id="1944261175">
          <w:marLeft w:val="0"/>
          <w:marRight w:val="0"/>
          <w:marTop w:val="0"/>
          <w:marBottom w:val="0"/>
          <w:divBdr>
            <w:top w:val="none" w:sz="0" w:space="0" w:color="auto"/>
            <w:left w:val="none" w:sz="0" w:space="0" w:color="auto"/>
            <w:bottom w:val="none" w:sz="0" w:space="0" w:color="auto"/>
            <w:right w:val="none" w:sz="0" w:space="0" w:color="auto"/>
          </w:divBdr>
        </w:div>
      </w:divsChild>
    </w:div>
    <w:div w:id="884024089">
      <w:bodyDiv w:val="1"/>
      <w:marLeft w:val="0"/>
      <w:marRight w:val="0"/>
      <w:marTop w:val="0"/>
      <w:marBottom w:val="0"/>
      <w:divBdr>
        <w:top w:val="none" w:sz="0" w:space="0" w:color="auto"/>
        <w:left w:val="none" w:sz="0" w:space="0" w:color="auto"/>
        <w:bottom w:val="none" w:sz="0" w:space="0" w:color="auto"/>
        <w:right w:val="none" w:sz="0" w:space="0" w:color="auto"/>
      </w:divBdr>
      <w:divsChild>
        <w:div w:id="1227759931">
          <w:marLeft w:val="0"/>
          <w:marRight w:val="0"/>
          <w:marTop w:val="0"/>
          <w:marBottom w:val="0"/>
          <w:divBdr>
            <w:top w:val="none" w:sz="0" w:space="0" w:color="auto"/>
            <w:left w:val="none" w:sz="0" w:space="0" w:color="auto"/>
            <w:bottom w:val="none" w:sz="0" w:space="0" w:color="auto"/>
            <w:right w:val="none" w:sz="0" w:space="0" w:color="auto"/>
          </w:divBdr>
        </w:div>
        <w:div w:id="1663511786">
          <w:marLeft w:val="0"/>
          <w:marRight w:val="0"/>
          <w:marTop w:val="0"/>
          <w:marBottom w:val="0"/>
          <w:divBdr>
            <w:top w:val="none" w:sz="0" w:space="0" w:color="auto"/>
            <w:left w:val="none" w:sz="0" w:space="0" w:color="auto"/>
            <w:bottom w:val="none" w:sz="0" w:space="0" w:color="auto"/>
            <w:right w:val="none" w:sz="0" w:space="0" w:color="auto"/>
          </w:divBdr>
        </w:div>
      </w:divsChild>
    </w:div>
    <w:div w:id="906454993">
      <w:bodyDiv w:val="1"/>
      <w:marLeft w:val="0"/>
      <w:marRight w:val="0"/>
      <w:marTop w:val="0"/>
      <w:marBottom w:val="0"/>
      <w:divBdr>
        <w:top w:val="none" w:sz="0" w:space="0" w:color="auto"/>
        <w:left w:val="none" w:sz="0" w:space="0" w:color="auto"/>
        <w:bottom w:val="none" w:sz="0" w:space="0" w:color="auto"/>
        <w:right w:val="none" w:sz="0" w:space="0" w:color="auto"/>
      </w:divBdr>
    </w:div>
    <w:div w:id="992564289">
      <w:bodyDiv w:val="1"/>
      <w:marLeft w:val="0"/>
      <w:marRight w:val="0"/>
      <w:marTop w:val="0"/>
      <w:marBottom w:val="0"/>
      <w:divBdr>
        <w:top w:val="none" w:sz="0" w:space="0" w:color="auto"/>
        <w:left w:val="none" w:sz="0" w:space="0" w:color="auto"/>
        <w:bottom w:val="none" w:sz="0" w:space="0" w:color="auto"/>
        <w:right w:val="none" w:sz="0" w:space="0" w:color="auto"/>
      </w:divBdr>
    </w:div>
    <w:div w:id="1009062751">
      <w:bodyDiv w:val="1"/>
      <w:marLeft w:val="0"/>
      <w:marRight w:val="0"/>
      <w:marTop w:val="0"/>
      <w:marBottom w:val="0"/>
      <w:divBdr>
        <w:top w:val="none" w:sz="0" w:space="0" w:color="auto"/>
        <w:left w:val="none" w:sz="0" w:space="0" w:color="auto"/>
        <w:bottom w:val="none" w:sz="0" w:space="0" w:color="auto"/>
        <w:right w:val="none" w:sz="0" w:space="0" w:color="auto"/>
      </w:divBdr>
      <w:divsChild>
        <w:div w:id="1288506707">
          <w:marLeft w:val="0"/>
          <w:marRight w:val="0"/>
          <w:marTop w:val="0"/>
          <w:marBottom w:val="0"/>
          <w:divBdr>
            <w:top w:val="none" w:sz="0" w:space="0" w:color="auto"/>
            <w:left w:val="none" w:sz="0" w:space="0" w:color="auto"/>
            <w:bottom w:val="none" w:sz="0" w:space="0" w:color="auto"/>
            <w:right w:val="none" w:sz="0" w:space="0" w:color="auto"/>
          </w:divBdr>
        </w:div>
      </w:divsChild>
    </w:div>
    <w:div w:id="1043167305">
      <w:bodyDiv w:val="1"/>
      <w:marLeft w:val="0"/>
      <w:marRight w:val="0"/>
      <w:marTop w:val="0"/>
      <w:marBottom w:val="0"/>
      <w:divBdr>
        <w:top w:val="none" w:sz="0" w:space="0" w:color="auto"/>
        <w:left w:val="none" w:sz="0" w:space="0" w:color="auto"/>
        <w:bottom w:val="none" w:sz="0" w:space="0" w:color="auto"/>
        <w:right w:val="none" w:sz="0" w:space="0" w:color="auto"/>
      </w:divBdr>
    </w:div>
    <w:div w:id="1059665860">
      <w:bodyDiv w:val="1"/>
      <w:marLeft w:val="0"/>
      <w:marRight w:val="0"/>
      <w:marTop w:val="0"/>
      <w:marBottom w:val="0"/>
      <w:divBdr>
        <w:top w:val="none" w:sz="0" w:space="0" w:color="auto"/>
        <w:left w:val="none" w:sz="0" w:space="0" w:color="auto"/>
        <w:bottom w:val="none" w:sz="0" w:space="0" w:color="auto"/>
        <w:right w:val="none" w:sz="0" w:space="0" w:color="auto"/>
      </w:divBdr>
      <w:divsChild>
        <w:div w:id="35127865">
          <w:marLeft w:val="0"/>
          <w:marRight w:val="0"/>
          <w:marTop w:val="192"/>
          <w:marBottom w:val="0"/>
          <w:divBdr>
            <w:top w:val="none" w:sz="0" w:space="0" w:color="auto"/>
            <w:left w:val="none" w:sz="0" w:space="0" w:color="auto"/>
            <w:bottom w:val="none" w:sz="0" w:space="0" w:color="auto"/>
            <w:right w:val="none" w:sz="0" w:space="0" w:color="auto"/>
          </w:divBdr>
        </w:div>
        <w:div w:id="682363007">
          <w:marLeft w:val="0"/>
          <w:marRight w:val="0"/>
          <w:marTop w:val="192"/>
          <w:marBottom w:val="0"/>
          <w:divBdr>
            <w:top w:val="none" w:sz="0" w:space="0" w:color="auto"/>
            <w:left w:val="none" w:sz="0" w:space="0" w:color="auto"/>
            <w:bottom w:val="none" w:sz="0" w:space="0" w:color="auto"/>
            <w:right w:val="none" w:sz="0" w:space="0" w:color="auto"/>
          </w:divBdr>
        </w:div>
        <w:div w:id="1081876083">
          <w:marLeft w:val="0"/>
          <w:marRight w:val="0"/>
          <w:marTop w:val="192"/>
          <w:marBottom w:val="0"/>
          <w:divBdr>
            <w:top w:val="none" w:sz="0" w:space="0" w:color="auto"/>
            <w:left w:val="none" w:sz="0" w:space="0" w:color="auto"/>
            <w:bottom w:val="none" w:sz="0" w:space="0" w:color="auto"/>
            <w:right w:val="none" w:sz="0" w:space="0" w:color="auto"/>
          </w:divBdr>
        </w:div>
      </w:divsChild>
    </w:div>
    <w:div w:id="1063866394">
      <w:bodyDiv w:val="1"/>
      <w:marLeft w:val="0"/>
      <w:marRight w:val="0"/>
      <w:marTop w:val="0"/>
      <w:marBottom w:val="0"/>
      <w:divBdr>
        <w:top w:val="none" w:sz="0" w:space="0" w:color="auto"/>
        <w:left w:val="none" w:sz="0" w:space="0" w:color="auto"/>
        <w:bottom w:val="none" w:sz="0" w:space="0" w:color="auto"/>
        <w:right w:val="none" w:sz="0" w:space="0" w:color="auto"/>
      </w:divBdr>
      <w:divsChild>
        <w:div w:id="249893105">
          <w:marLeft w:val="446"/>
          <w:marRight w:val="0"/>
          <w:marTop w:val="0"/>
          <w:marBottom w:val="0"/>
          <w:divBdr>
            <w:top w:val="none" w:sz="0" w:space="0" w:color="auto"/>
            <w:left w:val="none" w:sz="0" w:space="0" w:color="auto"/>
            <w:bottom w:val="none" w:sz="0" w:space="0" w:color="auto"/>
            <w:right w:val="none" w:sz="0" w:space="0" w:color="auto"/>
          </w:divBdr>
        </w:div>
        <w:div w:id="944464895">
          <w:marLeft w:val="446"/>
          <w:marRight w:val="0"/>
          <w:marTop w:val="0"/>
          <w:marBottom w:val="0"/>
          <w:divBdr>
            <w:top w:val="none" w:sz="0" w:space="0" w:color="auto"/>
            <w:left w:val="none" w:sz="0" w:space="0" w:color="auto"/>
            <w:bottom w:val="none" w:sz="0" w:space="0" w:color="auto"/>
            <w:right w:val="none" w:sz="0" w:space="0" w:color="auto"/>
          </w:divBdr>
        </w:div>
        <w:div w:id="1257209350">
          <w:marLeft w:val="446"/>
          <w:marRight w:val="0"/>
          <w:marTop w:val="0"/>
          <w:marBottom w:val="0"/>
          <w:divBdr>
            <w:top w:val="none" w:sz="0" w:space="0" w:color="auto"/>
            <w:left w:val="none" w:sz="0" w:space="0" w:color="auto"/>
            <w:bottom w:val="none" w:sz="0" w:space="0" w:color="auto"/>
            <w:right w:val="none" w:sz="0" w:space="0" w:color="auto"/>
          </w:divBdr>
        </w:div>
        <w:div w:id="1413307947">
          <w:marLeft w:val="446"/>
          <w:marRight w:val="0"/>
          <w:marTop w:val="0"/>
          <w:marBottom w:val="0"/>
          <w:divBdr>
            <w:top w:val="none" w:sz="0" w:space="0" w:color="auto"/>
            <w:left w:val="none" w:sz="0" w:space="0" w:color="auto"/>
            <w:bottom w:val="none" w:sz="0" w:space="0" w:color="auto"/>
            <w:right w:val="none" w:sz="0" w:space="0" w:color="auto"/>
          </w:divBdr>
        </w:div>
      </w:divsChild>
    </w:div>
    <w:div w:id="1066075070">
      <w:bodyDiv w:val="1"/>
      <w:marLeft w:val="0"/>
      <w:marRight w:val="0"/>
      <w:marTop w:val="0"/>
      <w:marBottom w:val="0"/>
      <w:divBdr>
        <w:top w:val="none" w:sz="0" w:space="0" w:color="auto"/>
        <w:left w:val="none" w:sz="0" w:space="0" w:color="auto"/>
        <w:bottom w:val="none" w:sz="0" w:space="0" w:color="auto"/>
        <w:right w:val="none" w:sz="0" w:space="0" w:color="auto"/>
      </w:divBdr>
      <w:divsChild>
        <w:div w:id="873886206">
          <w:marLeft w:val="0"/>
          <w:marRight w:val="0"/>
          <w:marTop w:val="0"/>
          <w:marBottom w:val="0"/>
          <w:divBdr>
            <w:top w:val="none" w:sz="0" w:space="0" w:color="auto"/>
            <w:left w:val="none" w:sz="0" w:space="0" w:color="auto"/>
            <w:bottom w:val="none" w:sz="0" w:space="0" w:color="auto"/>
            <w:right w:val="none" w:sz="0" w:space="0" w:color="auto"/>
          </w:divBdr>
        </w:div>
        <w:div w:id="1092705426">
          <w:marLeft w:val="0"/>
          <w:marRight w:val="0"/>
          <w:marTop w:val="0"/>
          <w:marBottom w:val="0"/>
          <w:divBdr>
            <w:top w:val="none" w:sz="0" w:space="0" w:color="auto"/>
            <w:left w:val="none" w:sz="0" w:space="0" w:color="auto"/>
            <w:bottom w:val="none" w:sz="0" w:space="0" w:color="auto"/>
            <w:right w:val="none" w:sz="0" w:space="0" w:color="auto"/>
          </w:divBdr>
        </w:div>
        <w:div w:id="1543323167">
          <w:marLeft w:val="0"/>
          <w:marRight w:val="0"/>
          <w:marTop w:val="0"/>
          <w:marBottom w:val="0"/>
          <w:divBdr>
            <w:top w:val="none" w:sz="0" w:space="0" w:color="auto"/>
            <w:left w:val="none" w:sz="0" w:space="0" w:color="auto"/>
            <w:bottom w:val="none" w:sz="0" w:space="0" w:color="auto"/>
            <w:right w:val="none" w:sz="0" w:space="0" w:color="auto"/>
          </w:divBdr>
        </w:div>
        <w:div w:id="2114088222">
          <w:marLeft w:val="0"/>
          <w:marRight w:val="0"/>
          <w:marTop w:val="0"/>
          <w:marBottom w:val="0"/>
          <w:divBdr>
            <w:top w:val="none" w:sz="0" w:space="0" w:color="auto"/>
            <w:left w:val="none" w:sz="0" w:space="0" w:color="auto"/>
            <w:bottom w:val="none" w:sz="0" w:space="0" w:color="auto"/>
            <w:right w:val="none" w:sz="0" w:space="0" w:color="auto"/>
          </w:divBdr>
        </w:div>
      </w:divsChild>
    </w:div>
    <w:div w:id="1092893694">
      <w:bodyDiv w:val="1"/>
      <w:marLeft w:val="0"/>
      <w:marRight w:val="0"/>
      <w:marTop w:val="0"/>
      <w:marBottom w:val="0"/>
      <w:divBdr>
        <w:top w:val="none" w:sz="0" w:space="0" w:color="auto"/>
        <w:left w:val="none" w:sz="0" w:space="0" w:color="auto"/>
        <w:bottom w:val="none" w:sz="0" w:space="0" w:color="auto"/>
        <w:right w:val="none" w:sz="0" w:space="0" w:color="auto"/>
      </w:divBdr>
    </w:div>
    <w:div w:id="1227692000">
      <w:bodyDiv w:val="1"/>
      <w:marLeft w:val="0"/>
      <w:marRight w:val="0"/>
      <w:marTop w:val="0"/>
      <w:marBottom w:val="0"/>
      <w:divBdr>
        <w:top w:val="none" w:sz="0" w:space="0" w:color="auto"/>
        <w:left w:val="none" w:sz="0" w:space="0" w:color="auto"/>
        <w:bottom w:val="none" w:sz="0" w:space="0" w:color="auto"/>
        <w:right w:val="none" w:sz="0" w:space="0" w:color="auto"/>
      </w:divBdr>
      <w:divsChild>
        <w:div w:id="381178466">
          <w:marLeft w:val="446"/>
          <w:marRight w:val="0"/>
          <w:marTop w:val="0"/>
          <w:marBottom w:val="0"/>
          <w:divBdr>
            <w:top w:val="none" w:sz="0" w:space="0" w:color="auto"/>
            <w:left w:val="none" w:sz="0" w:space="0" w:color="auto"/>
            <w:bottom w:val="none" w:sz="0" w:space="0" w:color="auto"/>
            <w:right w:val="none" w:sz="0" w:space="0" w:color="auto"/>
          </w:divBdr>
        </w:div>
        <w:div w:id="811944258">
          <w:marLeft w:val="446"/>
          <w:marRight w:val="0"/>
          <w:marTop w:val="0"/>
          <w:marBottom w:val="0"/>
          <w:divBdr>
            <w:top w:val="none" w:sz="0" w:space="0" w:color="auto"/>
            <w:left w:val="none" w:sz="0" w:space="0" w:color="auto"/>
            <w:bottom w:val="none" w:sz="0" w:space="0" w:color="auto"/>
            <w:right w:val="none" w:sz="0" w:space="0" w:color="auto"/>
          </w:divBdr>
        </w:div>
        <w:div w:id="978611849">
          <w:marLeft w:val="446"/>
          <w:marRight w:val="0"/>
          <w:marTop w:val="0"/>
          <w:marBottom w:val="0"/>
          <w:divBdr>
            <w:top w:val="none" w:sz="0" w:space="0" w:color="auto"/>
            <w:left w:val="none" w:sz="0" w:space="0" w:color="auto"/>
            <w:bottom w:val="none" w:sz="0" w:space="0" w:color="auto"/>
            <w:right w:val="none" w:sz="0" w:space="0" w:color="auto"/>
          </w:divBdr>
        </w:div>
        <w:div w:id="1163162601">
          <w:marLeft w:val="446"/>
          <w:marRight w:val="0"/>
          <w:marTop w:val="0"/>
          <w:marBottom w:val="0"/>
          <w:divBdr>
            <w:top w:val="none" w:sz="0" w:space="0" w:color="auto"/>
            <w:left w:val="none" w:sz="0" w:space="0" w:color="auto"/>
            <w:bottom w:val="none" w:sz="0" w:space="0" w:color="auto"/>
            <w:right w:val="none" w:sz="0" w:space="0" w:color="auto"/>
          </w:divBdr>
        </w:div>
        <w:div w:id="1361474082">
          <w:marLeft w:val="446"/>
          <w:marRight w:val="0"/>
          <w:marTop w:val="0"/>
          <w:marBottom w:val="0"/>
          <w:divBdr>
            <w:top w:val="none" w:sz="0" w:space="0" w:color="auto"/>
            <w:left w:val="none" w:sz="0" w:space="0" w:color="auto"/>
            <w:bottom w:val="none" w:sz="0" w:space="0" w:color="auto"/>
            <w:right w:val="none" w:sz="0" w:space="0" w:color="auto"/>
          </w:divBdr>
        </w:div>
      </w:divsChild>
    </w:div>
    <w:div w:id="1261403653">
      <w:bodyDiv w:val="1"/>
      <w:marLeft w:val="0"/>
      <w:marRight w:val="0"/>
      <w:marTop w:val="0"/>
      <w:marBottom w:val="0"/>
      <w:divBdr>
        <w:top w:val="none" w:sz="0" w:space="0" w:color="auto"/>
        <w:left w:val="none" w:sz="0" w:space="0" w:color="auto"/>
        <w:bottom w:val="none" w:sz="0" w:space="0" w:color="auto"/>
        <w:right w:val="none" w:sz="0" w:space="0" w:color="auto"/>
      </w:divBdr>
      <w:divsChild>
        <w:div w:id="1605382443">
          <w:marLeft w:val="446"/>
          <w:marRight w:val="0"/>
          <w:marTop w:val="0"/>
          <w:marBottom w:val="0"/>
          <w:divBdr>
            <w:top w:val="none" w:sz="0" w:space="0" w:color="auto"/>
            <w:left w:val="none" w:sz="0" w:space="0" w:color="auto"/>
            <w:bottom w:val="none" w:sz="0" w:space="0" w:color="auto"/>
            <w:right w:val="none" w:sz="0" w:space="0" w:color="auto"/>
          </w:divBdr>
        </w:div>
        <w:div w:id="1950505882">
          <w:marLeft w:val="446"/>
          <w:marRight w:val="0"/>
          <w:marTop w:val="0"/>
          <w:marBottom w:val="0"/>
          <w:divBdr>
            <w:top w:val="none" w:sz="0" w:space="0" w:color="auto"/>
            <w:left w:val="none" w:sz="0" w:space="0" w:color="auto"/>
            <w:bottom w:val="none" w:sz="0" w:space="0" w:color="auto"/>
            <w:right w:val="none" w:sz="0" w:space="0" w:color="auto"/>
          </w:divBdr>
        </w:div>
        <w:div w:id="2105689805">
          <w:marLeft w:val="446"/>
          <w:marRight w:val="0"/>
          <w:marTop w:val="0"/>
          <w:marBottom w:val="0"/>
          <w:divBdr>
            <w:top w:val="none" w:sz="0" w:space="0" w:color="auto"/>
            <w:left w:val="none" w:sz="0" w:space="0" w:color="auto"/>
            <w:bottom w:val="none" w:sz="0" w:space="0" w:color="auto"/>
            <w:right w:val="none" w:sz="0" w:space="0" w:color="auto"/>
          </w:divBdr>
        </w:div>
      </w:divsChild>
    </w:div>
    <w:div w:id="1271280756">
      <w:bodyDiv w:val="1"/>
      <w:marLeft w:val="0"/>
      <w:marRight w:val="0"/>
      <w:marTop w:val="0"/>
      <w:marBottom w:val="0"/>
      <w:divBdr>
        <w:top w:val="none" w:sz="0" w:space="0" w:color="auto"/>
        <w:left w:val="none" w:sz="0" w:space="0" w:color="auto"/>
        <w:bottom w:val="none" w:sz="0" w:space="0" w:color="auto"/>
        <w:right w:val="none" w:sz="0" w:space="0" w:color="auto"/>
      </w:divBdr>
    </w:div>
    <w:div w:id="1410301403">
      <w:bodyDiv w:val="1"/>
      <w:marLeft w:val="0"/>
      <w:marRight w:val="0"/>
      <w:marTop w:val="0"/>
      <w:marBottom w:val="0"/>
      <w:divBdr>
        <w:top w:val="none" w:sz="0" w:space="0" w:color="auto"/>
        <w:left w:val="none" w:sz="0" w:space="0" w:color="auto"/>
        <w:bottom w:val="none" w:sz="0" w:space="0" w:color="auto"/>
        <w:right w:val="none" w:sz="0" w:space="0" w:color="auto"/>
      </w:divBdr>
    </w:div>
    <w:div w:id="1419522288">
      <w:bodyDiv w:val="1"/>
      <w:marLeft w:val="0"/>
      <w:marRight w:val="0"/>
      <w:marTop w:val="0"/>
      <w:marBottom w:val="0"/>
      <w:divBdr>
        <w:top w:val="none" w:sz="0" w:space="0" w:color="auto"/>
        <w:left w:val="none" w:sz="0" w:space="0" w:color="auto"/>
        <w:bottom w:val="none" w:sz="0" w:space="0" w:color="auto"/>
        <w:right w:val="none" w:sz="0" w:space="0" w:color="auto"/>
      </w:divBdr>
    </w:div>
    <w:div w:id="1427455769">
      <w:bodyDiv w:val="1"/>
      <w:marLeft w:val="0"/>
      <w:marRight w:val="0"/>
      <w:marTop w:val="0"/>
      <w:marBottom w:val="0"/>
      <w:divBdr>
        <w:top w:val="none" w:sz="0" w:space="0" w:color="auto"/>
        <w:left w:val="none" w:sz="0" w:space="0" w:color="auto"/>
        <w:bottom w:val="none" w:sz="0" w:space="0" w:color="auto"/>
        <w:right w:val="none" w:sz="0" w:space="0" w:color="auto"/>
      </w:divBdr>
    </w:div>
    <w:div w:id="1447653229">
      <w:bodyDiv w:val="1"/>
      <w:marLeft w:val="0"/>
      <w:marRight w:val="0"/>
      <w:marTop w:val="0"/>
      <w:marBottom w:val="0"/>
      <w:divBdr>
        <w:top w:val="none" w:sz="0" w:space="0" w:color="auto"/>
        <w:left w:val="none" w:sz="0" w:space="0" w:color="auto"/>
        <w:bottom w:val="none" w:sz="0" w:space="0" w:color="auto"/>
        <w:right w:val="none" w:sz="0" w:space="0" w:color="auto"/>
      </w:divBdr>
    </w:div>
    <w:div w:id="1481845186">
      <w:bodyDiv w:val="1"/>
      <w:marLeft w:val="0"/>
      <w:marRight w:val="0"/>
      <w:marTop w:val="0"/>
      <w:marBottom w:val="0"/>
      <w:divBdr>
        <w:top w:val="none" w:sz="0" w:space="0" w:color="auto"/>
        <w:left w:val="none" w:sz="0" w:space="0" w:color="auto"/>
        <w:bottom w:val="none" w:sz="0" w:space="0" w:color="auto"/>
        <w:right w:val="none" w:sz="0" w:space="0" w:color="auto"/>
      </w:divBdr>
      <w:divsChild>
        <w:div w:id="193926699">
          <w:marLeft w:val="0"/>
          <w:marRight w:val="0"/>
          <w:marTop w:val="0"/>
          <w:marBottom w:val="0"/>
          <w:divBdr>
            <w:top w:val="none" w:sz="0" w:space="0" w:color="auto"/>
            <w:left w:val="none" w:sz="0" w:space="0" w:color="auto"/>
            <w:bottom w:val="none" w:sz="0" w:space="0" w:color="auto"/>
            <w:right w:val="none" w:sz="0" w:space="0" w:color="auto"/>
          </w:divBdr>
        </w:div>
        <w:div w:id="408773945">
          <w:marLeft w:val="0"/>
          <w:marRight w:val="0"/>
          <w:marTop w:val="0"/>
          <w:marBottom w:val="0"/>
          <w:divBdr>
            <w:top w:val="none" w:sz="0" w:space="0" w:color="auto"/>
            <w:left w:val="none" w:sz="0" w:space="0" w:color="auto"/>
            <w:bottom w:val="none" w:sz="0" w:space="0" w:color="auto"/>
            <w:right w:val="none" w:sz="0" w:space="0" w:color="auto"/>
          </w:divBdr>
        </w:div>
        <w:div w:id="1332684302">
          <w:marLeft w:val="0"/>
          <w:marRight w:val="0"/>
          <w:marTop w:val="0"/>
          <w:marBottom w:val="0"/>
          <w:divBdr>
            <w:top w:val="none" w:sz="0" w:space="0" w:color="auto"/>
            <w:left w:val="none" w:sz="0" w:space="0" w:color="auto"/>
            <w:bottom w:val="none" w:sz="0" w:space="0" w:color="auto"/>
            <w:right w:val="none" w:sz="0" w:space="0" w:color="auto"/>
          </w:divBdr>
        </w:div>
        <w:div w:id="1588266350">
          <w:marLeft w:val="0"/>
          <w:marRight w:val="0"/>
          <w:marTop w:val="0"/>
          <w:marBottom w:val="0"/>
          <w:divBdr>
            <w:top w:val="none" w:sz="0" w:space="0" w:color="auto"/>
            <w:left w:val="none" w:sz="0" w:space="0" w:color="auto"/>
            <w:bottom w:val="none" w:sz="0" w:space="0" w:color="auto"/>
            <w:right w:val="none" w:sz="0" w:space="0" w:color="auto"/>
          </w:divBdr>
        </w:div>
        <w:div w:id="1963151456">
          <w:marLeft w:val="0"/>
          <w:marRight w:val="0"/>
          <w:marTop w:val="0"/>
          <w:marBottom w:val="0"/>
          <w:divBdr>
            <w:top w:val="none" w:sz="0" w:space="0" w:color="auto"/>
            <w:left w:val="none" w:sz="0" w:space="0" w:color="auto"/>
            <w:bottom w:val="none" w:sz="0" w:space="0" w:color="auto"/>
            <w:right w:val="none" w:sz="0" w:space="0" w:color="auto"/>
          </w:divBdr>
        </w:div>
        <w:div w:id="1983266712">
          <w:marLeft w:val="0"/>
          <w:marRight w:val="0"/>
          <w:marTop w:val="0"/>
          <w:marBottom w:val="0"/>
          <w:divBdr>
            <w:top w:val="none" w:sz="0" w:space="0" w:color="auto"/>
            <w:left w:val="none" w:sz="0" w:space="0" w:color="auto"/>
            <w:bottom w:val="none" w:sz="0" w:space="0" w:color="auto"/>
            <w:right w:val="none" w:sz="0" w:space="0" w:color="auto"/>
          </w:divBdr>
        </w:div>
      </w:divsChild>
    </w:div>
    <w:div w:id="1607804582">
      <w:bodyDiv w:val="1"/>
      <w:marLeft w:val="0"/>
      <w:marRight w:val="0"/>
      <w:marTop w:val="0"/>
      <w:marBottom w:val="0"/>
      <w:divBdr>
        <w:top w:val="none" w:sz="0" w:space="0" w:color="auto"/>
        <w:left w:val="none" w:sz="0" w:space="0" w:color="auto"/>
        <w:bottom w:val="none" w:sz="0" w:space="0" w:color="auto"/>
        <w:right w:val="none" w:sz="0" w:space="0" w:color="auto"/>
      </w:divBdr>
    </w:div>
    <w:div w:id="1678726376">
      <w:bodyDiv w:val="1"/>
      <w:marLeft w:val="0"/>
      <w:marRight w:val="0"/>
      <w:marTop w:val="0"/>
      <w:marBottom w:val="0"/>
      <w:divBdr>
        <w:top w:val="none" w:sz="0" w:space="0" w:color="auto"/>
        <w:left w:val="none" w:sz="0" w:space="0" w:color="auto"/>
        <w:bottom w:val="none" w:sz="0" w:space="0" w:color="auto"/>
        <w:right w:val="none" w:sz="0" w:space="0" w:color="auto"/>
      </w:divBdr>
    </w:div>
    <w:div w:id="1693266548">
      <w:bodyDiv w:val="1"/>
      <w:marLeft w:val="0"/>
      <w:marRight w:val="0"/>
      <w:marTop w:val="0"/>
      <w:marBottom w:val="0"/>
      <w:divBdr>
        <w:top w:val="none" w:sz="0" w:space="0" w:color="auto"/>
        <w:left w:val="none" w:sz="0" w:space="0" w:color="auto"/>
        <w:bottom w:val="none" w:sz="0" w:space="0" w:color="auto"/>
        <w:right w:val="none" w:sz="0" w:space="0" w:color="auto"/>
      </w:divBdr>
    </w:div>
    <w:div w:id="1693649214">
      <w:bodyDiv w:val="1"/>
      <w:marLeft w:val="0"/>
      <w:marRight w:val="0"/>
      <w:marTop w:val="0"/>
      <w:marBottom w:val="0"/>
      <w:divBdr>
        <w:top w:val="none" w:sz="0" w:space="0" w:color="auto"/>
        <w:left w:val="none" w:sz="0" w:space="0" w:color="auto"/>
        <w:bottom w:val="none" w:sz="0" w:space="0" w:color="auto"/>
        <w:right w:val="none" w:sz="0" w:space="0" w:color="auto"/>
      </w:divBdr>
      <w:divsChild>
        <w:div w:id="1343047144">
          <w:marLeft w:val="446"/>
          <w:marRight w:val="0"/>
          <w:marTop w:val="0"/>
          <w:marBottom w:val="0"/>
          <w:divBdr>
            <w:top w:val="none" w:sz="0" w:space="0" w:color="auto"/>
            <w:left w:val="none" w:sz="0" w:space="0" w:color="auto"/>
            <w:bottom w:val="none" w:sz="0" w:space="0" w:color="auto"/>
            <w:right w:val="none" w:sz="0" w:space="0" w:color="auto"/>
          </w:divBdr>
        </w:div>
        <w:div w:id="1871792761">
          <w:marLeft w:val="446"/>
          <w:marRight w:val="0"/>
          <w:marTop w:val="0"/>
          <w:marBottom w:val="0"/>
          <w:divBdr>
            <w:top w:val="none" w:sz="0" w:space="0" w:color="auto"/>
            <w:left w:val="none" w:sz="0" w:space="0" w:color="auto"/>
            <w:bottom w:val="none" w:sz="0" w:space="0" w:color="auto"/>
            <w:right w:val="none" w:sz="0" w:space="0" w:color="auto"/>
          </w:divBdr>
        </w:div>
        <w:div w:id="1888448645">
          <w:marLeft w:val="446"/>
          <w:marRight w:val="0"/>
          <w:marTop w:val="0"/>
          <w:marBottom w:val="0"/>
          <w:divBdr>
            <w:top w:val="none" w:sz="0" w:space="0" w:color="auto"/>
            <w:left w:val="none" w:sz="0" w:space="0" w:color="auto"/>
            <w:bottom w:val="none" w:sz="0" w:space="0" w:color="auto"/>
            <w:right w:val="none" w:sz="0" w:space="0" w:color="auto"/>
          </w:divBdr>
        </w:div>
        <w:div w:id="1949309008">
          <w:marLeft w:val="446"/>
          <w:marRight w:val="0"/>
          <w:marTop w:val="0"/>
          <w:marBottom w:val="0"/>
          <w:divBdr>
            <w:top w:val="none" w:sz="0" w:space="0" w:color="auto"/>
            <w:left w:val="none" w:sz="0" w:space="0" w:color="auto"/>
            <w:bottom w:val="none" w:sz="0" w:space="0" w:color="auto"/>
            <w:right w:val="none" w:sz="0" w:space="0" w:color="auto"/>
          </w:divBdr>
        </w:div>
      </w:divsChild>
    </w:div>
    <w:div w:id="1732657223">
      <w:bodyDiv w:val="1"/>
      <w:marLeft w:val="0"/>
      <w:marRight w:val="0"/>
      <w:marTop w:val="0"/>
      <w:marBottom w:val="0"/>
      <w:divBdr>
        <w:top w:val="none" w:sz="0" w:space="0" w:color="auto"/>
        <w:left w:val="none" w:sz="0" w:space="0" w:color="auto"/>
        <w:bottom w:val="none" w:sz="0" w:space="0" w:color="auto"/>
        <w:right w:val="none" w:sz="0" w:space="0" w:color="auto"/>
      </w:divBdr>
    </w:div>
    <w:div w:id="1791895185">
      <w:bodyDiv w:val="1"/>
      <w:marLeft w:val="0"/>
      <w:marRight w:val="0"/>
      <w:marTop w:val="0"/>
      <w:marBottom w:val="0"/>
      <w:divBdr>
        <w:top w:val="none" w:sz="0" w:space="0" w:color="auto"/>
        <w:left w:val="none" w:sz="0" w:space="0" w:color="auto"/>
        <w:bottom w:val="none" w:sz="0" w:space="0" w:color="auto"/>
        <w:right w:val="none" w:sz="0" w:space="0" w:color="auto"/>
      </w:divBdr>
      <w:divsChild>
        <w:div w:id="687606441">
          <w:marLeft w:val="0"/>
          <w:marRight w:val="0"/>
          <w:marTop w:val="0"/>
          <w:marBottom w:val="0"/>
          <w:divBdr>
            <w:top w:val="none" w:sz="0" w:space="0" w:color="auto"/>
            <w:left w:val="none" w:sz="0" w:space="0" w:color="auto"/>
            <w:bottom w:val="none" w:sz="0" w:space="0" w:color="auto"/>
            <w:right w:val="none" w:sz="0" w:space="0" w:color="auto"/>
          </w:divBdr>
        </w:div>
        <w:div w:id="997420505">
          <w:marLeft w:val="0"/>
          <w:marRight w:val="0"/>
          <w:marTop w:val="0"/>
          <w:marBottom w:val="0"/>
          <w:divBdr>
            <w:top w:val="none" w:sz="0" w:space="0" w:color="auto"/>
            <w:left w:val="none" w:sz="0" w:space="0" w:color="auto"/>
            <w:bottom w:val="none" w:sz="0" w:space="0" w:color="auto"/>
            <w:right w:val="none" w:sz="0" w:space="0" w:color="auto"/>
          </w:divBdr>
        </w:div>
        <w:div w:id="1003122060">
          <w:marLeft w:val="0"/>
          <w:marRight w:val="0"/>
          <w:marTop w:val="0"/>
          <w:marBottom w:val="0"/>
          <w:divBdr>
            <w:top w:val="none" w:sz="0" w:space="0" w:color="auto"/>
            <w:left w:val="none" w:sz="0" w:space="0" w:color="auto"/>
            <w:bottom w:val="none" w:sz="0" w:space="0" w:color="auto"/>
            <w:right w:val="none" w:sz="0" w:space="0" w:color="auto"/>
          </w:divBdr>
        </w:div>
        <w:div w:id="1023673607">
          <w:marLeft w:val="0"/>
          <w:marRight w:val="0"/>
          <w:marTop w:val="0"/>
          <w:marBottom w:val="0"/>
          <w:divBdr>
            <w:top w:val="none" w:sz="0" w:space="0" w:color="auto"/>
            <w:left w:val="none" w:sz="0" w:space="0" w:color="auto"/>
            <w:bottom w:val="none" w:sz="0" w:space="0" w:color="auto"/>
            <w:right w:val="none" w:sz="0" w:space="0" w:color="auto"/>
          </w:divBdr>
        </w:div>
        <w:div w:id="2094815329">
          <w:marLeft w:val="0"/>
          <w:marRight w:val="0"/>
          <w:marTop w:val="0"/>
          <w:marBottom w:val="0"/>
          <w:divBdr>
            <w:top w:val="none" w:sz="0" w:space="0" w:color="auto"/>
            <w:left w:val="none" w:sz="0" w:space="0" w:color="auto"/>
            <w:bottom w:val="none" w:sz="0" w:space="0" w:color="auto"/>
            <w:right w:val="none" w:sz="0" w:space="0" w:color="auto"/>
          </w:divBdr>
        </w:div>
        <w:div w:id="2105150893">
          <w:marLeft w:val="0"/>
          <w:marRight w:val="0"/>
          <w:marTop w:val="0"/>
          <w:marBottom w:val="0"/>
          <w:divBdr>
            <w:top w:val="none" w:sz="0" w:space="0" w:color="auto"/>
            <w:left w:val="none" w:sz="0" w:space="0" w:color="auto"/>
            <w:bottom w:val="none" w:sz="0" w:space="0" w:color="auto"/>
            <w:right w:val="none" w:sz="0" w:space="0" w:color="auto"/>
          </w:divBdr>
        </w:div>
      </w:divsChild>
    </w:div>
    <w:div w:id="1825464997">
      <w:bodyDiv w:val="1"/>
      <w:marLeft w:val="0"/>
      <w:marRight w:val="0"/>
      <w:marTop w:val="0"/>
      <w:marBottom w:val="0"/>
      <w:divBdr>
        <w:top w:val="none" w:sz="0" w:space="0" w:color="auto"/>
        <w:left w:val="none" w:sz="0" w:space="0" w:color="auto"/>
        <w:bottom w:val="none" w:sz="0" w:space="0" w:color="auto"/>
        <w:right w:val="none" w:sz="0" w:space="0" w:color="auto"/>
      </w:divBdr>
      <w:divsChild>
        <w:div w:id="1272469536">
          <w:marLeft w:val="0"/>
          <w:marRight w:val="0"/>
          <w:marTop w:val="0"/>
          <w:marBottom w:val="0"/>
          <w:divBdr>
            <w:top w:val="none" w:sz="0" w:space="0" w:color="auto"/>
            <w:left w:val="none" w:sz="0" w:space="0" w:color="auto"/>
            <w:bottom w:val="none" w:sz="0" w:space="0" w:color="auto"/>
            <w:right w:val="none" w:sz="0" w:space="0" w:color="auto"/>
          </w:divBdr>
        </w:div>
        <w:div w:id="1453941329">
          <w:marLeft w:val="0"/>
          <w:marRight w:val="0"/>
          <w:marTop w:val="0"/>
          <w:marBottom w:val="0"/>
          <w:divBdr>
            <w:top w:val="none" w:sz="0" w:space="0" w:color="auto"/>
            <w:left w:val="none" w:sz="0" w:space="0" w:color="auto"/>
            <w:bottom w:val="none" w:sz="0" w:space="0" w:color="auto"/>
            <w:right w:val="none" w:sz="0" w:space="0" w:color="auto"/>
          </w:divBdr>
        </w:div>
        <w:div w:id="1639190434">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sChild>
    </w:div>
    <w:div w:id="1876653820">
      <w:bodyDiv w:val="1"/>
      <w:marLeft w:val="0"/>
      <w:marRight w:val="0"/>
      <w:marTop w:val="0"/>
      <w:marBottom w:val="0"/>
      <w:divBdr>
        <w:top w:val="none" w:sz="0" w:space="0" w:color="auto"/>
        <w:left w:val="none" w:sz="0" w:space="0" w:color="auto"/>
        <w:bottom w:val="none" w:sz="0" w:space="0" w:color="auto"/>
        <w:right w:val="none" w:sz="0" w:space="0" w:color="auto"/>
      </w:divBdr>
      <w:divsChild>
        <w:div w:id="111364238">
          <w:marLeft w:val="0"/>
          <w:marRight w:val="0"/>
          <w:marTop w:val="192"/>
          <w:marBottom w:val="0"/>
          <w:divBdr>
            <w:top w:val="none" w:sz="0" w:space="0" w:color="auto"/>
            <w:left w:val="none" w:sz="0" w:space="0" w:color="auto"/>
            <w:bottom w:val="none" w:sz="0" w:space="0" w:color="auto"/>
            <w:right w:val="none" w:sz="0" w:space="0" w:color="auto"/>
          </w:divBdr>
        </w:div>
        <w:div w:id="460194477">
          <w:marLeft w:val="0"/>
          <w:marRight w:val="0"/>
          <w:marTop w:val="192"/>
          <w:marBottom w:val="0"/>
          <w:divBdr>
            <w:top w:val="none" w:sz="0" w:space="0" w:color="auto"/>
            <w:left w:val="none" w:sz="0" w:space="0" w:color="auto"/>
            <w:bottom w:val="none" w:sz="0" w:space="0" w:color="auto"/>
            <w:right w:val="none" w:sz="0" w:space="0" w:color="auto"/>
          </w:divBdr>
        </w:div>
        <w:div w:id="1037586490">
          <w:marLeft w:val="0"/>
          <w:marRight w:val="0"/>
          <w:marTop w:val="192"/>
          <w:marBottom w:val="0"/>
          <w:divBdr>
            <w:top w:val="none" w:sz="0" w:space="0" w:color="auto"/>
            <w:left w:val="none" w:sz="0" w:space="0" w:color="auto"/>
            <w:bottom w:val="none" w:sz="0" w:space="0" w:color="auto"/>
            <w:right w:val="none" w:sz="0" w:space="0" w:color="auto"/>
          </w:divBdr>
        </w:div>
        <w:div w:id="1305310643">
          <w:marLeft w:val="0"/>
          <w:marRight w:val="0"/>
          <w:marTop w:val="192"/>
          <w:marBottom w:val="0"/>
          <w:divBdr>
            <w:top w:val="none" w:sz="0" w:space="0" w:color="auto"/>
            <w:left w:val="none" w:sz="0" w:space="0" w:color="auto"/>
            <w:bottom w:val="none" w:sz="0" w:space="0" w:color="auto"/>
            <w:right w:val="none" w:sz="0" w:space="0" w:color="auto"/>
          </w:divBdr>
        </w:div>
      </w:divsChild>
    </w:div>
    <w:div w:id="1926453415">
      <w:bodyDiv w:val="1"/>
      <w:marLeft w:val="0"/>
      <w:marRight w:val="0"/>
      <w:marTop w:val="0"/>
      <w:marBottom w:val="0"/>
      <w:divBdr>
        <w:top w:val="none" w:sz="0" w:space="0" w:color="auto"/>
        <w:left w:val="none" w:sz="0" w:space="0" w:color="auto"/>
        <w:bottom w:val="none" w:sz="0" w:space="0" w:color="auto"/>
        <w:right w:val="none" w:sz="0" w:space="0" w:color="auto"/>
      </w:divBdr>
      <w:divsChild>
        <w:div w:id="158235482">
          <w:marLeft w:val="0"/>
          <w:marRight w:val="0"/>
          <w:marTop w:val="0"/>
          <w:marBottom w:val="0"/>
          <w:divBdr>
            <w:top w:val="none" w:sz="0" w:space="0" w:color="auto"/>
            <w:left w:val="none" w:sz="0" w:space="0" w:color="auto"/>
            <w:bottom w:val="none" w:sz="0" w:space="0" w:color="auto"/>
            <w:right w:val="none" w:sz="0" w:space="0" w:color="auto"/>
          </w:divBdr>
        </w:div>
        <w:div w:id="651570146">
          <w:marLeft w:val="0"/>
          <w:marRight w:val="0"/>
          <w:marTop w:val="0"/>
          <w:marBottom w:val="0"/>
          <w:divBdr>
            <w:top w:val="none" w:sz="0" w:space="0" w:color="auto"/>
            <w:left w:val="none" w:sz="0" w:space="0" w:color="auto"/>
            <w:bottom w:val="none" w:sz="0" w:space="0" w:color="auto"/>
            <w:right w:val="none" w:sz="0" w:space="0" w:color="auto"/>
          </w:divBdr>
        </w:div>
        <w:div w:id="1656108893">
          <w:marLeft w:val="0"/>
          <w:marRight w:val="0"/>
          <w:marTop w:val="0"/>
          <w:marBottom w:val="0"/>
          <w:divBdr>
            <w:top w:val="none" w:sz="0" w:space="0" w:color="auto"/>
            <w:left w:val="none" w:sz="0" w:space="0" w:color="auto"/>
            <w:bottom w:val="none" w:sz="0" w:space="0" w:color="auto"/>
            <w:right w:val="none" w:sz="0" w:space="0" w:color="auto"/>
          </w:divBdr>
        </w:div>
      </w:divsChild>
    </w:div>
    <w:div w:id="1959606651">
      <w:bodyDiv w:val="1"/>
      <w:marLeft w:val="0"/>
      <w:marRight w:val="0"/>
      <w:marTop w:val="0"/>
      <w:marBottom w:val="0"/>
      <w:divBdr>
        <w:top w:val="none" w:sz="0" w:space="0" w:color="auto"/>
        <w:left w:val="none" w:sz="0" w:space="0" w:color="auto"/>
        <w:bottom w:val="none" w:sz="0" w:space="0" w:color="auto"/>
        <w:right w:val="none" w:sz="0" w:space="0" w:color="auto"/>
      </w:divBdr>
      <w:divsChild>
        <w:div w:id="378089822">
          <w:marLeft w:val="0"/>
          <w:marRight w:val="0"/>
          <w:marTop w:val="0"/>
          <w:marBottom w:val="0"/>
          <w:divBdr>
            <w:top w:val="none" w:sz="0" w:space="0" w:color="auto"/>
            <w:left w:val="none" w:sz="0" w:space="0" w:color="auto"/>
            <w:bottom w:val="none" w:sz="0" w:space="0" w:color="auto"/>
            <w:right w:val="none" w:sz="0" w:space="0" w:color="auto"/>
          </w:divBdr>
        </w:div>
        <w:div w:id="637958111">
          <w:marLeft w:val="0"/>
          <w:marRight w:val="0"/>
          <w:marTop w:val="0"/>
          <w:marBottom w:val="0"/>
          <w:divBdr>
            <w:top w:val="none" w:sz="0" w:space="0" w:color="auto"/>
            <w:left w:val="none" w:sz="0" w:space="0" w:color="auto"/>
            <w:bottom w:val="none" w:sz="0" w:space="0" w:color="auto"/>
            <w:right w:val="none" w:sz="0" w:space="0" w:color="auto"/>
          </w:divBdr>
        </w:div>
        <w:div w:id="832524992">
          <w:marLeft w:val="0"/>
          <w:marRight w:val="0"/>
          <w:marTop w:val="0"/>
          <w:marBottom w:val="0"/>
          <w:divBdr>
            <w:top w:val="none" w:sz="0" w:space="0" w:color="auto"/>
            <w:left w:val="none" w:sz="0" w:space="0" w:color="auto"/>
            <w:bottom w:val="none" w:sz="0" w:space="0" w:color="auto"/>
            <w:right w:val="none" w:sz="0" w:space="0" w:color="auto"/>
          </w:divBdr>
        </w:div>
        <w:div w:id="849028214">
          <w:marLeft w:val="0"/>
          <w:marRight w:val="0"/>
          <w:marTop w:val="0"/>
          <w:marBottom w:val="0"/>
          <w:divBdr>
            <w:top w:val="none" w:sz="0" w:space="0" w:color="auto"/>
            <w:left w:val="none" w:sz="0" w:space="0" w:color="auto"/>
            <w:bottom w:val="none" w:sz="0" w:space="0" w:color="auto"/>
            <w:right w:val="none" w:sz="0" w:space="0" w:color="auto"/>
          </w:divBdr>
        </w:div>
        <w:div w:id="917638473">
          <w:marLeft w:val="0"/>
          <w:marRight w:val="0"/>
          <w:marTop w:val="0"/>
          <w:marBottom w:val="0"/>
          <w:divBdr>
            <w:top w:val="none" w:sz="0" w:space="0" w:color="auto"/>
            <w:left w:val="none" w:sz="0" w:space="0" w:color="auto"/>
            <w:bottom w:val="none" w:sz="0" w:space="0" w:color="auto"/>
            <w:right w:val="none" w:sz="0" w:space="0" w:color="auto"/>
          </w:divBdr>
        </w:div>
        <w:div w:id="1001199052">
          <w:marLeft w:val="0"/>
          <w:marRight w:val="0"/>
          <w:marTop w:val="0"/>
          <w:marBottom w:val="0"/>
          <w:divBdr>
            <w:top w:val="none" w:sz="0" w:space="0" w:color="auto"/>
            <w:left w:val="none" w:sz="0" w:space="0" w:color="auto"/>
            <w:bottom w:val="none" w:sz="0" w:space="0" w:color="auto"/>
            <w:right w:val="none" w:sz="0" w:space="0" w:color="auto"/>
          </w:divBdr>
        </w:div>
        <w:div w:id="1030759531">
          <w:marLeft w:val="0"/>
          <w:marRight w:val="0"/>
          <w:marTop w:val="0"/>
          <w:marBottom w:val="0"/>
          <w:divBdr>
            <w:top w:val="none" w:sz="0" w:space="0" w:color="auto"/>
            <w:left w:val="none" w:sz="0" w:space="0" w:color="auto"/>
            <w:bottom w:val="none" w:sz="0" w:space="0" w:color="auto"/>
            <w:right w:val="none" w:sz="0" w:space="0" w:color="auto"/>
          </w:divBdr>
        </w:div>
        <w:div w:id="1120488755">
          <w:marLeft w:val="0"/>
          <w:marRight w:val="0"/>
          <w:marTop w:val="0"/>
          <w:marBottom w:val="0"/>
          <w:divBdr>
            <w:top w:val="none" w:sz="0" w:space="0" w:color="auto"/>
            <w:left w:val="none" w:sz="0" w:space="0" w:color="auto"/>
            <w:bottom w:val="none" w:sz="0" w:space="0" w:color="auto"/>
            <w:right w:val="none" w:sz="0" w:space="0" w:color="auto"/>
          </w:divBdr>
        </w:div>
        <w:div w:id="1434085968">
          <w:marLeft w:val="0"/>
          <w:marRight w:val="0"/>
          <w:marTop w:val="0"/>
          <w:marBottom w:val="0"/>
          <w:divBdr>
            <w:top w:val="none" w:sz="0" w:space="0" w:color="auto"/>
            <w:left w:val="none" w:sz="0" w:space="0" w:color="auto"/>
            <w:bottom w:val="none" w:sz="0" w:space="0" w:color="auto"/>
            <w:right w:val="none" w:sz="0" w:space="0" w:color="auto"/>
          </w:divBdr>
        </w:div>
      </w:divsChild>
    </w:div>
    <w:div w:id="2002538583">
      <w:bodyDiv w:val="1"/>
      <w:marLeft w:val="0"/>
      <w:marRight w:val="0"/>
      <w:marTop w:val="0"/>
      <w:marBottom w:val="0"/>
      <w:divBdr>
        <w:top w:val="none" w:sz="0" w:space="0" w:color="auto"/>
        <w:left w:val="none" w:sz="0" w:space="0" w:color="auto"/>
        <w:bottom w:val="none" w:sz="0" w:space="0" w:color="auto"/>
        <w:right w:val="none" w:sz="0" w:space="0" w:color="auto"/>
      </w:divBdr>
    </w:div>
    <w:div w:id="2055813217">
      <w:bodyDiv w:val="1"/>
      <w:marLeft w:val="0"/>
      <w:marRight w:val="0"/>
      <w:marTop w:val="0"/>
      <w:marBottom w:val="0"/>
      <w:divBdr>
        <w:top w:val="none" w:sz="0" w:space="0" w:color="auto"/>
        <w:left w:val="none" w:sz="0" w:space="0" w:color="auto"/>
        <w:bottom w:val="none" w:sz="0" w:space="0" w:color="auto"/>
        <w:right w:val="none" w:sz="0" w:space="0" w:color="auto"/>
      </w:divBdr>
    </w:div>
    <w:div w:id="2081170838">
      <w:bodyDiv w:val="1"/>
      <w:marLeft w:val="0"/>
      <w:marRight w:val="0"/>
      <w:marTop w:val="0"/>
      <w:marBottom w:val="0"/>
      <w:divBdr>
        <w:top w:val="none" w:sz="0" w:space="0" w:color="auto"/>
        <w:left w:val="none" w:sz="0" w:space="0" w:color="auto"/>
        <w:bottom w:val="none" w:sz="0" w:space="0" w:color="auto"/>
        <w:right w:val="none" w:sz="0" w:space="0" w:color="auto"/>
      </w:divBdr>
    </w:div>
    <w:div w:id="2104297222">
      <w:bodyDiv w:val="1"/>
      <w:marLeft w:val="0"/>
      <w:marRight w:val="0"/>
      <w:marTop w:val="0"/>
      <w:marBottom w:val="0"/>
      <w:divBdr>
        <w:top w:val="none" w:sz="0" w:space="0" w:color="auto"/>
        <w:left w:val="none" w:sz="0" w:space="0" w:color="auto"/>
        <w:bottom w:val="none" w:sz="0" w:space="0" w:color="auto"/>
        <w:right w:val="none" w:sz="0" w:space="0" w:color="auto"/>
      </w:divBdr>
      <w:divsChild>
        <w:div w:id="5863205">
          <w:marLeft w:val="0"/>
          <w:marRight w:val="0"/>
          <w:marTop w:val="0"/>
          <w:marBottom w:val="0"/>
          <w:divBdr>
            <w:top w:val="none" w:sz="0" w:space="0" w:color="auto"/>
            <w:left w:val="none" w:sz="0" w:space="0" w:color="auto"/>
            <w:bottom w:val="none" w:sz="0" w:space="0" w:color="auto"/>
            <w:right w:val="none" w:sz="0" w:space="0" w:color="auto"/>
          </w:divBdr>
        </w:div>
        <w:div w:id="984089462">
          <w:marLeft w:val="0"/>
          <w:marRight w:val="0"/>
          <w:marTop w:val="0"/>
          <w:marBottom w:val="0"/>
          <w:divBdr>
            <w:top w:val="none" w:sz="0" w:space="0" w:color="auto"/>
            <w:left w:val="none" w:sz="0" w:space="0" w:color="auto"/>
            <w:bottom w:val="none" w:sz="0" w:space="0" w:color="auto"/>
            <w:right w:val="none" w:sz="0" w:space="0" w:color="auto"/>
          </w:divBdr>
        </w:div>
        <w:div w:id="1049376361">
          <w:marLeft w:val="0"/>
          <w:marRight w:val="0"/>
          <w:marTop w:val="0"/>
          <w:marBottom w:val="0"/>
          <w:divBdr>
            <w:top w:val="none" w:sz="0" w:space="0" w:color="auto"/>
            <w:left w:val="none" w:sz="0" w:space="0" w:color="auto"/>
            <w:bottom w:val="none" w:sz="0" w:space="0" w:color="auto"/>
            <w:right w:val="none" w:sz="0" w:space="0" w:color="auto"/>
          </w:divBdr>
        </w:div>
        <w:div w:id="2016608469">
          <w:marLeft w:val="0"/>
          <w:marRight w:val="0"/>
          <w:marTop w:val="0"/>
          <w:marBottom w:val="0"/>
          <w:divBdr>
            <w:top w:val="none" w:sz="0" w:space="0" w:color="auto"/>
            <w:left w:val="none" w:sz="0" w:space="0" w:color="auto"/>
            <w:bottom w:val="none" w:sz="0" w:space="0" w:color="auto"/>
            <w:right w:val="none" w:sz="0" w:space="0" w:color="auto"/>
          </w:divBdr>
        </w:div>
      </w:divsChild>
    </w:div>
    <w:div w:id="2106220513">
      <w:bodyDiv w:val="1"/>
      <w:marLeft w:val="0"/>
      <w:marRight w:val="0"/>
      <w:marTop w:val="0"/>
      <w:marBottom w:val="0"/>
      <w:divBdr>
        <w:top w:val="none" w:sz="0" w:space="0" w:color="auto"/>
        <w:left w:val="none" w:sz="0" w:space="0" w:color="auto"/>
        <w:bottom w:val="none" w:sz="0" w:space="0" w:color="auto"/>
        <w:right w:val="none" w:sz="0" w:space="0" w:color="auto"/>
      </w:divBdr>
      <w:divsChild>
        <w:div w:id="89854280">
          <w:marLeft w:val="0"/>
          <w:marRight w:val="0"/>
          <w:marTop w:val="0"/>
          <w:marBottom w:val="0"/>
          <w:divBdr>
            <w:top w:val="none" w:sz="0" w:space="0" w:color="auto"/>
            <w:left w:val="none" w:sz="0" w:space="0" w:color="auto"/>
            <w:bottom w:val="none" w:sz="0" w:space="0" w:color="auto"/>
            <w:right w:val="none" w:sz="0" w:space="0" w:color="auto"/>
          </w:divBdr>
        </w:div>
        <w:div w:id="1527984324">
          <w:marLeft w:val="0"/>
          <w:marRight w:val="0"/>
          <w:marTop w:val="0"/>
          <w:marBottom w:val="0"/>
          <w:divBdr>
            <w:top w:val="none" w:sz="0" w:space="0" w:color="auto"/>
            <w:left w:val="none" w:sz="0" w:space="0" w:color="auto"/>
            <w:bottom w:val="none" w:sz="0" w:space="0" w:color="auto"/>
            <w:right w:val="none" w:sz="0" w:space="0" w:color="auto"/>
          </w:divBdr>
        </w:div>
        <w:div w:id="1678775608">
          <w:marLeft w:val="0"/>
          <w:marRight w:val="0"/>
          <w:marTop w:val="0"/>
          <w:marBottom w:val="0"/>
          <w:divBdr>
            <w:top w:val="none" w:sz="0" w:space="0" w:color="auto"/>
            <w:left w:val="none" w:sz="0" w:space="0" w:color="auto"/>
            <w:bottom w:val="none" w:sz="0" w:space="0" w:color="auto"/>
            <w:right w:val="none" w:sz="0" w:space="0" w:color="auto"/>
          </w:divBdr>
        </w:div>
        <w:div w:id="2118061977">
          <w:marLeft w:val="0"/>
          <w:marRight w:val="0"/>
          <w:marTop w:val="0"/>
          <w:marBottom w:val="0"/>
          <w:divBdr>
            <w:top w:val="none" w:sz="0" w:space="0" w:color="auto"/>
            <w:left w:val="none" w:sz="0" w:space="0" w:color="auto"/>
            <w:bottom w:val="none" w:sz="0" w:space="0" w:color="auto"/>
            <w:right w:val="none" w:sz="0" w:space="0" w:color="auto"/>
          </w:divBdr>
        </w:div>
      </w:divsChild>
    </w:div>
    <w:div w:id="2115242690">
      <w:bodyDiv w:val="1"/>
      <w:marLeft w:val="0"/>
      <w:marRight w:val="0"/>
      <w:marTop w:val="0"/>
      <w:marBottom w:val="0"/>
      <w:divBdr>
        <w:top w:val="none" w:sz="0" w:space="0" w:color="auto"/>
        <w:left w:val="none" w:sz="0" w:space="0" w:color="auto"/>
        <w:bottom w:val="none" w:sz="0" w:space="0" w:color="auto"/>
        <w:right w:val="none" w:sz="0" w:space="0" w:color="auto"/>
      </w:divBdr>
      <w:divsChild>
        <w:div w:id="2005041087">
          <w:marLeft w:val="0"/>
          <w:marRight w:val="0"/>
          <w:marTop w:val="0"/>
          <w:marBottom w:val="0"/>
          <w:divBdr>
            <w:top w:val="none" w:sz="0" w:space="0" w:color="auto"/>
            <w:left w:val="none" w:sz="0" w:space="0" w:color="auto"/>
            <w:bottom w:val="none" w:sz="0" w:space="0" w:color="auto"/>
            <w:right w:val="none" w:sz="0" w:space="0" w:color="auto"/>
          </w:divBdr>
        </w:div>
        <w:div w:id="2071490241">
          <w:marLeft w:val="0"/>
          <w:marRight w:val="0"/>
          <w:marTop w:val="0"/>
          <w:marBottom w:val="0"/>
          <w:divBdr>
            <w:top w:val="none" w:sz="0" w:space="0" w:color="auto"/>
            <w:left w:val="none" w:sz="0" w:space="0" w:color="auto"/>
            <w:bottom w:val="none" w:sz="0" w:space="0" w:color="auto"/>
            <w:right w:val="none" w:sz="0" w:space="0" w:color="auto"/>
          </w:divBdr>
        </w:div>
        <w:div w:id="2139490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5CF-C06F-49BA-9E4D-D5E0A625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5</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 Лебединский</dc:creator>
  <cp:keywords/>
  <dc:description/>
  <cp:lastModifiedBy>Murat Kurbanov</cp:lastModifiedBy>
  <cp:revision>3</cp:revision>
  <cp:lastPrinted>2022-01-11T07:41:00Z</cp:lastPrinted>
  <dcterms:created xsi:type="dcterms:W3CDTF">2023-12-07T13:22:00Z</dcterms:created>
  <dcterms:modified xsi:type="dcterms:W3CDTF">2023-12-14T07:05:00Z</dcterms:modified>
</cp:coreProperties>
</file>