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0219" w14:textId="77777777" w:rsidR="00441D0B" w:rsidRDefault="00091BCB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</w:rPr>
      </w:pPr>
      <w:bookmarkStart w:id="0" w:name="_Toc517881485"/>
      <w:r>
        <w:rPr>
          <w:rFonts w:eastAsia="Times New Roman" w:cstheme="majorBidi"/>
          <w:b/>
          <w:bCs/>
          <w:caps/>
          <w:sz w:val="28"/>
          <w:szCs w:val="28"/>
        </w:rPr>
        <w:t>ПРИЛОЖЕНИЯ</w:t>
      </w:r>
      <w:bookmarkEnd w:id="0"/>
    </w:p>
    <w:p w14:paraId="1D3B7158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1" w:name="_Toc517881486"/>
      <w:r>
        <w:rPr>
          <w:rFonts w:asciiTheme="minorHAnsi" w:hAnsiTheme="minorHAnsi"/>
          <w:b/>
          <w:color w:val="auto"/>
          <w:sz w:val="28"/>
          <w:szCs w:val="28"/>
        </w:rPr>
        <w:t>Приложение 1. Практика взыскания судебных расходов на оплату услуг представителей</w:t>
      </w:r>
      <w:bookmarkEnd w:id="1"/>
    </w:p>
    <w:p w14:paraId="0C7804FA" w14:textId="77777777" w:rsidR="00441D0B" w:rsidRDefault="00091BCB">
      <w:pPr>
        <w:spacing w:before="120"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В 2017 году в России было рассмотрено 1,7 млн арбитражных дел и 14,8 млн гражданских дел в судах общей юрисдикции</w:t>
      </w:r>
      <w:r>
        <w:rPr>
          <w:rStyle w:val="af1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>. При этом по экспертным оценкам приблизительно в 10% дел услуги оказывают представители, расходы на которых может взыскать сторона в пользу которой вынесено решение суда (ст. 100 ГПК и ст. 110 АПК).</w:t>
      </w:r>
    </w:p>
    <w:p w14:paraId="7363B3A6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Российской Федерации наблюдается тенденция к уменьшению размера взыскиваемых расходов относительно их фактического размера, в котором их понёс заказчик этих услуг. Особенно консервативны судьи при взыскании судебных расходов из бюджета, когда проигравшей стороной оказывается какой-либо государственный орган.</w:t>
      </w:r>
    </w:p>
    <w:p w14:paraId="52EFD66C" w14:textId="77777777" w:rsidR="00441D0B" w:rsidRDefault="00091BCB">
      <w:pPr>
        <w:spacing w:before="120"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Судебная практика свидетельствует, что основным аргументом в пользу уменьшения размера расходов является их «чрезмерность». Например, исследования рынка юридических услуг</w:t>
      </w:r>
      <w:r>
        <w:rPr>
          <w:rStyle w:val="af1"/>
          <w:rFonts w:cs="Arial"/>
          <w:sz w:val="24"/>
          <w:szCs w:val="24"/>
        </w:rPr>
        <w:footnoteReference w:id="2"/>
      </w:r>
      <w:r>
        <w:rPr>
          <w:rFonts w:cs="Arial"/>
          <w:sz w:val="24"/>
          <w:szCs w:val="24"/>
        </w:rPr>
        <w:t xml:space="preserve"> показывают, что арбитражные суды присуждают заявленные суммы расходов на представителя в 53,7% случаев, остальные — это всегда сниженные суммы. Средний размер реально взысканной суммы на 40% меньше, чем средняя сумма, заявленная к взысканию. При этом чем больше заявленная к взысканию сумма, тем больше она уменьшается судьями. В судах общей юрисдикции различие заявленных и взысканных сумм еще больше –заявленные суммы на представителя присуждаются лишь в 14,2% случаев.</w:t>
      </w:r>
    </w:p>
    <w:p w14:paraId="5601D575" w14:textId="77777777" w:rsidR="00441D0B" w:rsidRDefault="00091BCB">
      <w:pPr>
        <w:spacing w:before="120"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Примеры причин снижения расходов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080"/>
      </w:tblGrid>
      <w:tr w:rsidR="00441D0B" w14:paraId="3B62010F" w14:textId="77777777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66DCBF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№ п</w:t>
            </w:r>
            <w:r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</w:rPr>
              <w:t>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82F4CCD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Причина</w:t>
            </w:r>
          </w:p>
        </w:tc>
        <w:tc>
          <w:tcPr>
            <w:tcW w:w="7080" w:type="dxa"/>
            <w:shd w:val="clear" w:color="auto" w:fill="D9D9D9" w:themeFill="background1" w:themeFillShade="D9"/>
            <w:vAlign w:val="center"/>
          </w:tcPr>
          <w:p w14:paraId="59A21DE7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Комментарий</w:t>
            </w:r>
          </w:p>
        </w:tc>
      </w:tr>
      <w:tr w:rsidR="00441D0B" w14:paraId="7FFD9CBA" w14:textId="77777777">
        <w:tc>
          <w:tcPr>
            <w:tcW w:w="562" w:type="dxa"/>
          </w:tcPr>
          <w:p w14:paraId="39CF63A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14:paraId="642E06C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Заявленная сумма завышена и не соответствует проделанной работе</w:t>
            </w:r>
          </w:p>
        </w:tc>
        <w:tc>
          <w:tcPr>
            <w:tcW w:w="7080" w:type="dxa"/>
          </w:tcPr>
          <w:p w14:paraId="54C61033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 дело №А40–248 251/2016 – расходы на представителя снижены с 112 тыс. до 40 тыс. рублей.</w:t>
            </w:r>
          </w:p>
          <w:p w14:paraId="4D68588E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«…Оценив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доказательств,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совокупности, на основании ст.ст.101, 106, 110 АПК РФ суд приходит к выводу о чрезмерности заявленных в сумме 112 000 руб. расходов на оплату услуг представителя и считает возможным взыскать с ответчика в пользу Общества 40 000 руб.</w:t>
            </w:r>
          </w:p>
          <w:p w14:paraId="371A2C3C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При этом суд исходит из того, сумма в размере 40 000 руб. соотносима с объемом защищаемого права, характером заявленного спора, степенью его сложности, затраченного времени на его подготовку, количества судебных заседаний, а также является разумной и достаточной для компенсации всех судебных расходов истца, связанных с рассмотрением настоящего дела…».</w:t>
            </w:r>
          </w:p>
          <w:p w14:paraId="021FBBD0" w14:textId="77777777" w:rsidR="00441D0B" w:rsidRDefault="00091BCB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 дело №А40–187 798/2015 – расходы на представителя снижены с 200 тыс. до 50 тыс. рублей.</w:t>
            </w:r>
          </w:p>
          <w:p w14:paraId="1674CF04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«…Решение о снижении размера судебных расходов принимается судом с учетом степени сложности дела, в процессе рассмотрения которого не потребовалось значительных трудозатрат и специальных знаний.</w:t>
            </w:r>
          </w:p>
          <w:p w14:paraId="1A3685A1" w14:textId="77777777" w:rsidR="00441D0B" w:rsidRDefault="00091BC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Таким образом, дело не относится к категории сложного ни по подлежащим применению нормам права, ни по предмету доказывания.</w:t>
            </w:r>
          </w:p>
          <w:p w14:paraId="38B12C4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Доказательств значительности трудозатрат на подготовку позиции по делу и сбор доказательств истцом в материалы дела не представлено…»</w:t>
            </w:r>
          </w:p>
        </w:tc>
      </w:tr>
      <w:tr w:rsidR="00441D0B" w14:paraId="4CB933C8" w14:textId="77777777">
        <w:tc>
          <w:tcPr>
            <w:tcW w:w="562" w:type="dxa"/>
          </w:tcPr>
          <w:p w14:paraId="3F727718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1985" w:type="dxa"/>
          </w:tcPr>
          <w:p w14:paraId="254FA05F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Несоответствие стоимости аналогичных услуг</w:t>
            </w:r>
          </w:p>
        </w:tc>
        <w:tc>
          <w:tcPr>
            <w:tcW w:w="7080" w:type="dxa"/>
          </w:tcPr>
          <w:p w14:paraId="7AC82F6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Пример: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дело №А40-171520/2015 – расходы на представителя снижены с 120 тыс. до 10 тыс. рублей.</w:t>
            </w:r>
          </w:p>
          <w:p w14:paraId="6CCE9864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«Исследовав и оценив в совокупности представленные заявителем доказательства, суд пришел к выводу о необходимости снижения подлежащих взысканию судебных расходов до 10 000 рублей, считая это разумным пределом с учетом объема и сложности выполненной работы, времени, потраченного на подготовку материалов, сложившейся в Московском регионе стоимости на сходные услуги с учетом квалификации лиц, оказывающих услуги, имеющихся сведений статистических органов о ценах на рынке юридических услуг, с учетом продолжительности рассмотрения дела, в связи с чем требование истца о взыскании судебных расходов подлежит удовлетворению частично…».</w:t>
            </w:r>
          </w:p>
        </w:tc>
      </w:tr>
    </w:tbl>
    <w:p w14:paraId="78045871" w14:textId="77777777" w:rsidR="00441D0B" w:rsidRDefault="00091BCB">
      <w:pPr>
        <w:spacing w:before="120" w:after="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Представительство интересов в суде — юридическая услуга, стоимость которой нередко является предметом обсуждения и доказывания. Судьи, юристы и их клиенты — каждый рассматривает ее со своей точки зрения, учитывая зачастую совсем разные моменты. При этом «за бортом» порой оказываются ситуация в экономике и общие для всех правила ценообразования в рыночных условиях.</w:t>
      </w:r>
    </w:p>
    <w:p w14:paraId="59C1F09E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подобной ситуации компромисса часто можно достичь, опираясь на определенные ориентиры, такие как цена у конкурентов или в принципе средняя стоимость услуг в заданном секторе. Компании нередко сами собирают данные от коллег, но, как правило, мало кто из них располагает ресурсами, позволяющими сделать полную выборку по рынку. Поэтому, специализированное исследование у юристов востребовано, это хороший аргумент при общении с клиентами и обоснование расходов, заявляемых к взысканию в суде. Ещё более сильным аргументом может стать отчёт об оценке рыночной стоимости услуг по представительству в конкретном деле, подготовленный в соответствии с Законом об оценке [1] (дополнительно см. </w:t>
      </w:r>
      <w:r>
        <w:rPr>
          <w:rFonts w:cs="Arial"/>
          <w:i/>
          <w:sz w:val="24"/>
          <w:szCs w:val="24"/>
        </w:rPr>
        <w:t>Приложение 2</w:t>
      </w:r>
      <w:r>
        <w:rPr>
          <w:rFonts w:cs="Arial"/>
          <w:sz w:val="24"/>
          <w:szCs w:val="24"/>
        </w:rPr>
        <w:t>).</w:t>
      </w:r>
    </w:p>
    <w:p w14:paraId="0038CA20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Право использовать такие инструменты в суде подтверждено мнением высшей инстанции. Так п. 20 Информационного письма Президиума ВАС РФ от 13.08.2004 № 82 (в редакции от 01.07.2014) «О некоторых вопросах применения Арбитражного процессуального кодекса Российской Федерации» указывает, что для определения разумных пределов соответствующих затрат могут приниматься во внимание сложившаяся в регионе стоимость оплаты услуг адвокатов и имеющиеся сведения статистических органов о ценах на юридическом рынке.</w:t>
      </w:r>
    </w:p>
    <w:p w14:paraId="1DAED03F" w14:textId="77777777" w:rsidR="00441D0B" w:rsidRDefault="00091BCB">
      <w:pPr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Закрепило за судами право применять сравнительный метод при определении разумности расходов Постановление Пленума Верховного Суда РФ от 21.01.2016 № 1 [4], согласно которому разумными считаются такие расходы на представителя, которые обычно взимаются за аналогичные услуги при сравнимых обстоятельствах.</w:t>
      </w:r>
    </w:p>
    <w:p w14:paraId="5677B137" w14:textId="77777777" w:rsidR="00441D0B" w:rsidRDefault="00091BCB">
      <w:pPr>
        <w:spacing w:before="120" w:after="0"/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3.</w:t>
      </w:r>
      <w:r>
        <w:rPr>
          <w:rFonts w:cs="Arial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 областью применения оценки рыночной стоимости юридических услуг могут другие предметы спора в арбитражных и общегражданских судах. Например, оспаривание договоров на оказание юридических услуг физическому или юридическому лицу, вступившему в процедуру банкротства, на основании п. 1 ст. 61.2 №127-ФЗ «О несостоятельности (банкротстве)» как неравноценное встречное предложение. В таких случаях предметом спора являются условия договора на оказание юридических услуг, в частности стоимость оказываемых услуг. Подтверждением либо опровержением рыночности условий заключенного договора может среди прочего служить отчёт об оценке юридических услуг, составленный в соответствии со 135-ФЗ «Об оценочной деятельности» и Федеральными стандартами оценки. При этом достоверность отчёта об оценке может подтверждаться экспертизой СРО.</w:t>
      </w:r>
    </w:p>
    <w:p w14:paraId="48D67946" w14:textId="77777777" w:rsidR="00441D0B" w:rsidRDefault="00091BCB">
      <w:pPr>
        <w:pStyle w:val="a8"/>
        <w:ind w:left="0" w:firstLine="708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Пример: дело №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А40-171885/14</w:t>
      </w:r>
      <w:r>
        <w:rPr>
          <w:rStyle w:val="af1"/>
          <w:rFonts w:cs="Arial"/>
          <w:sz w:val="24"/>
          <w:szCs w:val="24"/>
        </w:rPr>
        <w:footnoteReference w:id="3"/>
      </w:r>
      <w:r>
        <w:rPr>
          <w:rFonts w:cs="Arial"/>
          <w:sz w:val="24"/>
          <w:szCs w:val="24"/>
        </w:rPr>
        <w:t xml:space="preserve">, конкурсный управляющий АО «Группа Е4 о признании недействительной сделкой соглашение об оказании юридических услуг, заключенное между АО «Группа Е4» и Герберт Смит </w:t>
      </w:r>
      <w:proofErr w:type="spellStart"/>
      <w:r>
        <w:rPr>
          <w:rFonts w:cs="Arial"/>
          <w:sz w:val="24"/>
          <w:szCs w:val="24"/>
        </w:rPr>
        <w:t>Фрихилз</w:t>
      </w:r>
      <w:proofErr w:type="spellEnd"/>
      <w:r>
        <w:rPr>
          <w:b/>
          <w:sz w:val="24"/>
          <w:szCs w:val="24"/>
        </w:rPr>
        <w:t>.</w:t>
      </w:r>
    </w:p>
    <w:p w14:paraId="66F75AA7" w14:textId="77777777" w:rsidR="00441D0B" w:rsidRDefault="00091BC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A5DABE9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2" w:name="_Toc517881487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2. О возможных формах документов, в которых устанавливается стоимость УПИвС</w:t>
      </w:r>
      <w:bookmarkEnd w:id="2"/>
    </w:p>
    <w:p w14:paraId="3698CB0F" w14:textId="77777777" w:rsidR="00441D0B" w:rsidRDefault="00091BCB">
      <w:pPr>
        <w:spacing w:before="120"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При вынесении решения о сумме </w:t>
      </w:r>
      <w:r>
        <w:rPr>
          <w:rFonts w:ascii="Calibri" w:eastAsia="Times New Roman" w:hAnsi="Calibri" w:cs="Times New Roman"/>
          <w:sz w:val="24"/>
          <w:szCs w:val="24"/>
        </w:rPr>
        <w:t xml:space="preserve">фактически взыскиваемых УПИвС суды исходят из того, что «расходы на оплату услуг представителя, понесенные лицом, в пользу которого принят судебный акт, взыскиваются судом с другого лица, участвующего в деле, </w:t>
      </w:r>
      <w:r>
        <w:rPr>
          <w:rFonts w:ascii="Calibri" w:eastAsia="Times New Roman" w:hAnsi="Calibri" w:cs="Times New Roman"/>
          <w:b/>
          <w:sz w:val="24"/>
          <w:szCs w:val="24"/>
        </w:rPr>
        <w:t>в разумных пределах</w:t>
      </w:r>
      <w:r>
        <w:rPr>
          <w:rFonts w:ascii="Calibri" w:eastAsia="Times New Roman" w:hAnsi="Calibri" w:cs="Times New Roman"/>
          <w:sz w:val="24"/>
          <w:szCs w:val="24"/>
        </w:rPr>
        <w:t>» (часть 1 статьи 100 ГПК РФ, статья 112 КАС РФ, часть 2 статьи 110 АПК РФ).</w:t>
      </w:r>
    </w:p>
    <w:p w14:paraId="1EB2C7E2" w14:textId="77777777" w:rsidR="00441D0B" w:rsidRDefault="00091BC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Постановлением Пленума Верховного Суда РФ от 21.01.2016 № 1 «О некоторых вопросах применения законодательства о возмещении издержек, связанных с рассмотрением дела» установлено, что «Разумными считаются такие расходы на представителя, которые </w:t>
      </w:r>
      <w:r>
        <w:rPr>
          <w:rFonts w:cs="Times New Roman"/>
          <w:b/>
          <w:sz w:val="24"/>
          <w:szCs w:val="24"/>
        </w:rPr>
        <w:t>обычно взимаются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за аналогичные услуги при сравнимых обстоятельствах»</w:t>
      </w:r>
      <w:r>
        <w:rPr>
          <w:rFonts w:cs="Times New Roman"/>
          <w:sz w:val="24"/>
          <w:szCs w:val="24"/>
        </w:rPr>
        <w:t>.</w:t>
      </w:r>
    </w:p>
    <w:p w14:paraId="4BAADCE0" w14:textId="77777777" w:rsidR="00441D0B" w:rsidRDefault="00091BCB">
      <w:pPr>
        <w:spacing w:after="0" w:line="240" w:lineRule="auto"/>
        <w:ind w:firstLine="709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Согласно сложившейся практике арбитражных судов Российской Федерации при определении разумных пределов расходов на оплату услуг представителя принимаются во внимание: …; </w:t>
      </w:r>
      <w:r>
        <w:rPr>
          <w:rFonts w:cs="Times New Roman"/>
          <w:b/>
          <w:color w:val="333333"/>
          <w:sz w:val="24"/>
          <w:szCs w:val="24"/>
        </w:rPr>
        <w:t>сложившаяся в данном регионе</w:t>
      </w:r>
      <w:r>
        <w:rPr>
          <w:rFonts w:cs="Times New Roman"/>
          <w:color w:val="333333"/>
          <w:sz w:val="24"/>
          <w:szCs w:val="24"/>
        </w:rPr>
        <w:t xml:space="preserve"> </w:t>
      </w:r>
      <w:r>
        <w:rPr>
          <w:rFonts w:cs="Times New Roman"/>
          <w:b/>
          <w:color w:val="333333"/>
          <w:sz w:val="24"/>
          <w:szCs w:val="24"/>
        </w:rPr>
        <w:t>стоимость на сходные услуги</w:t>
      </w:r>
      <w:r>
        <w:rPr>
          <w:rFonts w:cs="Times New Roman"/>
          <w:color w:val="333333"/>
          <w:sz w:val="24"/>
          <w:szCs w:val="24"/>
        </w:rPr>
        <w:t xml:space="preserve"> с учетом квалификации лиц, оказывающих услуги; ….</w:t>
      </w:r>
      <w:r>
        <w:rPr>
          <w:sz w:val="24"/>
          <w:szCs w:val="24"/>
        </w:rPr>
        <w:t xml:space="preserve"> (</w:t>
      </w:r>
      <w:r>
        <w:rPr>
          <w:rFonts w:cs="Times New Roman"/>
          <w:color w:val="333333"/>
          <w:sz w:val="24"/>
          <w:szCs w:val="24"/>
        </w:rPr>
        <w:t>Постановление Президиума ВАС РФ от 07.02.2006 N 12088/05 по делу N А40-52568/04-134-115; Информационное письмо Президиума ВАС РФ от 13.08.2004 N 82 (ред. от 01.07.2014) "О некоторых вопросах применения Арбитражного процессуального кодекса Российской Федерации").</w:t>
      </w:r>
    </w:p>
    <w:p w14:paraId="74E86AEB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2. Определение рыночной стоимости</w:t>
      </w:r>
      <w:r>
        <w:rPr>
          <w:rFonts w:eastAsia="Times New Roman" w:cs="Times New Roman"/>
          <w:iCs/>
          <w:sz w:val="24"/>
          <w:szCs w:val="24"/>
        </w:rPr>
        <w:t xml:space="preserve"> установлено Законом об оценке [1].</w:t>
      </w:r>
    </w:p>
    <w:p w14:paraId="135AA8A5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соответствии со ст. 3 Закона об оценке под оценочной деятельностью понимается профессиональная деятельность субъектов оценочной деятельности, </w:t>
      </w:r>
      <w:r>
        <w:rPr>
          <w:rFonts w:eastAsia="Times New Roman" w:cs="Times New Roman"/>
          <w:b/>
          <w:sz w:val="24"/>
          <w:szCs w:val="24"/>
        </w:rPr>
        <w:t>направленная на установление в отношении объектов оценки рыночной</w:t>
      </w:r>
      <w:r>
        <w:rPr>
          <w:rFonts w:eastAsia="Times New Roman" w:cs="Times New Roman"/>
          <w:sz w:val="24"/>
          <w:szCs w:val="24"/>
        </w:rPr>
        <w:t xml:space="preserve">, кадастровой, ликвидационной, инвестиционной или иной предусмотренной федеральными стандартами оценки </w:t>
      </w:r>
      <w:r>
        <w:rPr>
          <w:rFonts w:eastAsia="Times New Roman" w:cs="Times New Roman"/>
          <w:b/>
          <w:sz w:val="24"/>
          <w:szCs w:val="24"/>
        </w:rPr>
        <w:t>стоимости</w:t>
      </w:r>
      <w:r>
        <w:rPr>
          <w:rFonts w:eastAsia="Times New Roman" w:cs="Times New Roman"/>
          <w:sz w:val="24"/>
          <w:szCs w:val="24"/>
        </w:rPr>
        <w:t>.</w:t>
      </w:r>
    </w:p>
    <w:p w14:paraId="18046B61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В отношении законодательства, регулирующего оценочную деятельность в Российской федерации, в ст. 1 Закона об оценке установлено, что оценочная деятельность осуществляется в соответствии с международными договорами Российской Федерации, настоящим Федеральным законом, </w:t>
      </w:r>
      <w:r>
        <w:rPr>
          <w:rFonts w:eastAsia="Times New Roman" w:cs="Times New Roman"/>
          <w:b/>
          <w:sz w:val="24"/>
          <w:szCs w:val="24"/>
        </w:rPr>
        <w:t>а также другими федеральными законами и иными нормативными правовыми актами Российской Федерации, регулирующими отношения, возникающие при осуществлении оценочной деятельности</w:t>
      </w:r>
      <w:r>
        <w:rPr>
          <w:rFonts w:eastAsia="Times New Roman" w:cs="Times New Roman"/>
          <w:sz w:val="24"/>
          <w:szCs w:val="24"/>
        </w:rPr>
        <w:t>.</w:t>
      </w:r>
    </w:p>
    <w:p w14:paraId="7C982CDF" w14:textId="77777777" w:rsidR="00441D0B" w:rsidRDefault="000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Согласно ч. 1 ст. 11 Закона об оценке и</w:t>
      </w:r>
      <w:r>
        <w:rPr>
          <w:rFonts w:cs="Times New Roman"/>
          <w:sz w:val="24"/>
          <w:szCs w:val="24"/>
        </w:rPr>
        <w:t xml:space="preserve">тоговым документом, составленным по результатам определения стоимости объекта оценки независимо от вида определенной стоимости, является </w:t>
      </w:r>
      <w:r>
        <w:rPr>
          <w:rFonts w:cs="Times New Roman"/>
          <w:b/>
          <w:sz w:val="24"/>
          <w:szCs w:val="24"/>
        </w:rPr>
        <w:t>отчет об оценке объекта оценки</w:t>
      </w:r>
      <w:r>
        <w:rPr>
          <w:rFonts w:cs="Times New Roman"/>
          <w:sz w:val="24"/>
          <w:szCs w:val="24"/>
        </w:rPr>
        <w:t>.</w:t>
      </w:r>
    </w:p>
    <w:p w14:paraId="74FE4F89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Проведение судебной экспертизы регламентируется положениями Закона о государственной судебной экспертной деятельности [2], в соответствии с которым итоговым документом является заключение эксперта.</w:t>
      </w:r>
    </w:p>
    <w:p w14:paraId="5B3E2398" w14:textId="77777777" w:rsidR="00441D0B" w:rsidRDefault="00091B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Таким образом, при определении рыночной стоимости УПИвС итоговыми документами могут являться: </w:t>
      </w:r>
      <w:r>
        <w:rPr>
          <w:rFonts w:ascii="Calibri" w:eastAsia="Times New Roman" w:hAnsi="Calibri" w:cs="Times New Roman"/>
          <w:sz w:val="24"/>
          <w:szCs w:val="24"/>
        </w:rPr>
        <w:t xml:space="preserve">отчет об оценке, выполненный в рамках Закона об оценке либо </w:t>
      </w:r>
      <w:r>
        <w:rPr>
          <w:rFonts w:cs="Times New Roman"/>
          <w:sz w:val="24"/>
          <w:szCs w:val="24"/>
        </w:rPr>
        <w:t>заключение эксперта, выполненное в рамках Закона о государственной судебной экспертной деятельности.</w:t>
      </w:r>
    </w:p>
    <w:p w14:paraId="79E85C8D" w14:textId="77777777" w:rsidR="00441D0B" w:rsidRDefault="00091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33815C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3" w:name="_Toc517881488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3. Пример задания на оценку</w:t>
      </w:r>
      <w:bookmarkEnd w:id="3"/>
    </w:p>
    <w:p w14:paraId="6CF6953D" w14:textId="77777777" w:rsidR="00441D0B" w:rsidRDefault="00441D0B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60"/>
        <w:gridCol w:w="5767"/>
      </w:tblGrid>
      <w:tr w:rsidR="00441D0B" w14:paraId="01E88D6E" w14:textId="77777777">
        <w:trPr>
          <w:jc w:val="center"/>
        </w:trPr>
        <w:tc>
          <w:tcPr>
            <w:tcW w:w="3936" w:type="dxa"/>
            <w:shd w:val="clear" w:color="auto" w:fill="F2F2F2" w:themeFill="background1" w:themeFillShade="F2"/>
          </w:tcPr>
          <w:p w14:paraId="4AC837CD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Показатель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7E118A03" w14:textId="77777777" w:rsidR="00441D0B" w:rsidRDefault="00091B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Значение</w:t>
            </w:r>
          </w:p>
        </w:tc>
      </w:tr>
      <w:tr w:rsidR="00441D0B" w14:paraId="103A2AF8" w14:textId="77777777">
        <w:trPr>
          <w:jc w:val="center"/>
        </w:trPr>
        <w:tc>
          <w:tcPr>
            <w:tcW w:w="3936" w:type="dxa"/>
          </w:tcPr>
          <w:p w14:paraId="51865DA5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Объект оценки</w:t>
            </w:r>
          </w:p>
        </w:tc>
        <w:tc>
          <w:tcPr>
            <w:tcW w:w="5917" w:type="dxa"/>
          </w:tcPr>
          <w:p w14:paraId="2AC374FC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Юридические услуги по представлению интересов АО «</w:t>
            </w:r>
            <w:proofErr w:type="spellStart"/>
            <w:r>
              <w:rPr>
                <w:rFonts w:cs="Arial"/>
              </w:rPr>
              <w:t>ххх</w:t>
            </w:r>
            <w:proofErr w:type="spellEnd"/>
            <w:r>
              <w:rPr>
                <w:rFonts w:cs="Arial"/>
              </w:rPr>
              <w:t xml:space="preserve">» </w:t>
            </w:r>
            <w:r>
              <w:rPr>
                <w:rFonts w:ascii="Calibri" w:eastAsia="Times New Roman" w:hAnsi="Calibri" w:cs="Times New Roman"/>
              </w:rPr>
              <w:t xml:space="preserve">в Арбитражном суде города Москвы по делу </w:t>
            </w:r>
            <w:bookmarkStart w:id="4" w:name="_Hlk517349528"/>
            <w:r>
              <w:rPr>
                <w:rFonts w:ascii="Calibri" w:eastAsia="Times New Roman" w:hAnsi="Calibri" w:cs="Times New Roman"/>
              </w:rPr>
              <w:t>№ХХХ</w:t>
            </w:r>
            <w:r>
              <w:rPr>
                <w:rFonts w:cs="Arial"/>
              </w:rPr>
              <w:t>.</w:t>
            </w:r>
            <w:bookmarkEnd w:id="4"/>
          </w:p>
          <w:p w14:paraId="276BC390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Объем услуг: </w:t>
            </w:r>
            <w:r>
              <w:rPr>
                <w:rFonts w:ascii="Calibri" w:eastAsia="Times New Roman" w:hAnsi="Calibri" w:cs="Times New Roman"/>
              </w:rPr>
              <w:t>ведение судебного дела №</w:t>
            </w:r>
            <w:proofErr w:type="spellStart"/>
            <w:r>
              <w:rPr>
                <w:rFonts w:ascii="Calibri" w:eastAsia="Times New Roman" w:hAnsi="Calibri" w:cs="Times New Roman"/>
              </w:rPr>
              <w:t>ххх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 Арбитражном суде г. Москвы в рамках суда первой инстанции.</w:t>
            </w:r>
          </w:p>
          <w:p w14:paraId="6C3A20E2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Основание для оказания услуг: договор №ХХХ от 30.12.2017.</w:t>
            </w:r>
          </w:p>
          <w:p w14:paraId="0D0C7970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Исполнитель услуг: юридическая фирма ООО «ХХХ» (</w:t>
            </w:r>
            <w:r>
              <w:rPr>
                <w:rFonts w:ascii="Calibri" w:eastAsia="Times New Roman" w:hAnsi="Calibri" w:cs="Times New Roman"/>
              </w:rPr>
              <w:t>ОГРН ХХХ</w:t>
            </w:r>
            <w:r>
              <w:rPr>
                <w:rFonts w:cs="Arial"/>
              </w:rPr>
              <w:t>).</w:t>
            </w:r>
          </w:p>
          <w:p w14:paraId="329B7091" w14:textId="77777777" w:rsidR="00441D0B" w:rsidRDefault="00091B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Услуги оказаны с 30.12.2017 по 30.05.2018.</w:t>
            </w:r>
          </w:p>
        </w:tc>
      </w:tr>
      <w:tr w:rsidR="00441D0B" w14:paraId="70FCDD08" w14:textId="77777777">
        <w:trPr>
          <w:jc w:val="center"/>
        </w:trPr>
        <w:tc>
          <w:tcPr>
            <w:tcW w:w="3936" w:type="dxa"/>
          </w:tcPr>
          <w:p w14:paraId="228F19BA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Права на объект оценки, учитываемые при определении стоимости объекта оценки</w:t>
            </w:r>
          </w:p>
        </w:tc>
        <w:tc>
          <w:tcPr>
            <w:tcW w:w="5917" w:type="dxa"/>
          </w:tcPr>
          <w:p w14:paraId="66DABFCC" w14:textId="5509C850" w:rsidR="00441D0B" w:rsidRDefault="00DA6977" w:rsidP="00DA6977">
            <w:pPr>
              <w:jc w:val="center"/>
              <w:rPr>
                <w:rFonts w:cs="Arial"/>
              </w:rPr>
            </w:pPr>
            <w:r w:rsidRPr="00DA6977">
              <w:rPr>
                <w:rFonts w:cs="Arial"/>
              </w:rPr>
              <w:t>Описываются права и обязанности субъектов и основания их возникновения в отношении рассматриваемых юридических услуг</w:t>
            </w:r>
          </w:p>
        </w:tc>
      </w:tr>
      <w:tr w:rsidR="00441D0B" w14:paraId="6F24C435" w14:textId="77777777">
        <w:trPr>
          <w:jc w:val="center"/>
        </w:trPr>
        <w:tc>
          <w:tcPr>
            <w:tcW w:w="3936" w:type="dxa"/>
          </w:tcPr>
          <w:p w14:paraId="2FB879A3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Цель оценки</w:t>
            </w:r>
          </w:p>
        </w:tc>
        <w:tc>
          <w:tcPr>
            <w:tcW w:w="5917" w:type="dxa"/>
          </w:tcPr>
          <w:p w14:paraId="531F344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Определение рыночной стоимости объекта оценки</w:t>
            </w:r>
          </w:p>
        </w:tc>
      </w:tr>
      <w:tr w:rsidR="00441D0B" w14:paraId="356959B3" w14:textId="77777777">
        <w:trPr>
          <w:jc w:val="center"/>
        </w:trPr>
        <w:tc>
          <w:tcPr>
            <w:tcW w:w="3936" w:type="dxa"/>
          </w:tcPr>
          <w:p w14:paraId="7088053C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Предполагаемое использование результатов оценки</w:t>
            </w:r>
          </w:p>
        </w:tc>
        <w:tc>
          <w:tcPr>
            <w:tcW w:w="5917" w:type="dxa"/>
          </w:tcPr>
          <w:p w14:paraId="2D3DC2DD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В рамках судебного дела </w:t>
            </w:r>
            <w:r>
              <w:rPr>
                <w:rFonts w:ascii="Calibri" w:eastAsia="Times New Roman" w:hAnsi="Calibri" w:cs="Times New Roman"/>
              </w:rPr>
              <w:t>№ХХХ</w:t>
            </w:r>
            <w:r>
              <w:rPr>
                <w:rFonts w:cs="Arial"/>
              </w:rPr>
              <w:t>.</w:t>
            </w:r>
          </w:p>
        </w:tc>
      </w:tr>
      <w:tr w:rsidR="00441D0B" w14:paraId="1F975420" w14:textId="77777777">
        <w:trPr>
          <w:jc w:val="center"/>
        </w:trPr>
        <w:tc>
          <w:tcPr>
            <w:tcW w:w="3936" w:type="dxa"/>
          </w:tcPr>
          <w:p w14:paraId="25A2F176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Вид стоимости</w:t>
            </w:r>
          </w:p>
        </w:tc>
        <w:tc>
          <w:tcPr>
            <w:tcW w:w="5917" w:type="dxa"/>
          </w:tcPr>
          <w:p w14:paraId="7715EFA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Рыночная</w:t>
            </w:r>
          </w:p>
        </w:tc>
      </w:tr>
      <w:tr w:rsidR="00441D0B" w14:paraId="7A994ECC" w14:textId="77777777">
        <w:trPr>
          <w:jc w:val="center"/>
        </w:trPr>
        <w:tc>
          <w:tcPr>
            <w:tcW w:w="3936" w:type="dxa"/>
          </w:tcPr>
          <w:p w14:paraId="0B8318AF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Дата оценки</w:t>
            </w:r>
          </w:p>
        </w:tc>
        <w:tc>
          <w:tcPr>
            <w:tcW w:w="5917" w:type="dxa"/>
          </w:tcPr>
          <w:p w14:paraId="3F56A8DF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30.12.2017</w:t>
            </w:r>
          </w:p>
        </w:tc>
      </w:tr>
      <w:tr w:rsidR="00441D0B" w14:paraId="64A43121" w14:textId="77777777">
        <w:trPr>
          <w:jc w:val="center"/>
        </w:trPr>
        <w:tc>
          <w:tcPr>
            <w:tcW w:w="3936" w:type="dxa"/>
          </w:tcPr>
          <w:p w14:paraId="6670D581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Допущения, на которых должна основываться оценка</w:t>
            </w:r>
          </w:p>
        </w:tc>
        <w:tc>
          <w:tcPr>
            <w:tcW w:w="5917" w:type="dxa"/>
          </w:tcPr>
          <w:p w14:paraId="11BB9733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Приведены по тексту отчета.</w:t>
            </w:r>
          </w:p>
        </w:tc>
      </w:tr>
      <w:tr w:rsidR="00441D0B" w14:paraId="589A2D8D" w14:textId="77777777">
        <w:trPr>
          <w:jc w:val="center"/>
        </w:trPr>
        <w:tc>
          <w:tcPr>
            <w:tcW w:w="3936" w:type="dxa"/>
          </w:tcPr>
          <w:p w14:paraId="09FDA246" w14:textId="77777777" w:rsidR="00441D0B" w:rsidRDefault="00091BCB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Иная информация, предусмотренная федеральными стандартами оценки</w:t>
            </w:r>
          </w:p>
        </w:tc>
        <w:tc>
          <w:tcPr>
            <w:tcW w:w="5917" w:type="dxa"/>
          </w:tcPr>
          <w:p w14:paraId="6246FE64" w14:textId="77777777" w:rsidR="00441D0B" w:rsidRDefault="00091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Федеральными стандартами оценки не предусмотрено наличие иной информации</w:t>
            </w:r>
          </w:p>
        </w:tc>
      </w:tr>
    </w:tbl>
    <w:p w14:paraId="2DD2514A" w14:textId="77777777" w:rsidR="00441D0B" w:rsidRDefault="00091B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8856044" w14:textId="77777777" w:rsidR="00441D0B" w:rsidRDefault="00091BCB">
      <w:pPr>
        <w:pStyle w:val="2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5" w:name="_Toc517881489"/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Приложение 4. Возможные источники информации для анализа рынка</w:t>
      </w:r>
      <w:bookmarkEnd w:id="5"/>
    </w:p>
    <w:p w14:paraId="2FCB0F7C" w14:textId="77777777" w:rsidR="00441D0B" w:rsidRDefault="00091BCB">
      <w:pPr>
        <w:spacing w:before="100" w:after="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Исследования / обзоры рынка юридических услуг:</w:t>
      </w:r>
    </w:p>
    <w:p w14:paraId="1C1DC86A" w14:textId="5B8B1B4B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Ежегодное исследование стоимости услуг по представлению интересов в судах, проводимое экспертной группой VETA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8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http://www.legal-research.ru/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3D9E3F1C" w14:textId="53CB7511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Средняя стоимость услуг Юристов и Адвокатов в РФ по данным сайта </w:t>
      </w:r>
      <w:proofErr w:type="spellStart"/>
      <w:r>
        <w:rPr>
          <w:rFonts w:eastAsia="Times New Roman" w:cs="Times New Roman"/>
          <w:sz w:val="24"/>
          <w:szCs w:val="24"/>
        </w:rPr>
        <w:t>Праворуб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9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https://pravorub.ru/users/stat/prices/4312/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7AE7DC47" w14:textId="3250AFD2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Обзор цен на юридические услуги по абонентскому обслуживанию бизнеса на портале «НАЙДИ-ЮРИСТА»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0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http://naidi-jurista.ru/club/blog/News/74.php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2BFA7818" w14:textId="36EA3231" w:rsidR="00441D0B" w:rsidRDefault="00091BCB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Обзор оплат корпоративных юристов и юристов международных и национальных юридических фирм в Москве в 2016, подготовленный Компанией Norton </w:t>
      </w:r>
      <w:proofErr w:type="spellStart"/>
      <w:r>
        <w:rPr>
          <w:rFonts w:eastAsia="Times New Roman" w:cs="Times New Roman"/>
          <w:sz w:val="24"/>
          <w:szCs w:val="24"/>
        </w:rPr>
        <w:t>Caine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1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http://www.nortoncaine.com/resources/files/associates_survey_2016_.pdf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5A6767DB" w14:textId="77777777" w:rsidR="001F764E" w:rsidRPr="001F764E" w:rsidRDefault="00091BCB" w:rsidP="001F764E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Legal.Report</w:t>
      </w:r>
      <w:proofErr w:type="spellEnd"/>
      <w:r>
        <w:rPr>
          <w:rFonts w:eastAsia="Times New Roman" w:cs="Times New Roman"/>
          <w:sz w:val="24"/>
          <w:szCs w:val="24"/>
        </w:rPr>
        <w:t xml:space="preserve"> раскрывает размер гонораров крупных юридических компаний России </w:t>
      </w:r>
      <w:r w:rsidR="001F764E">
        <w:rPr>
          <w:rFonts w:eastAsia="Times New Roman" w:cs="Times New Roman"/>
          <w:sz w:val="24"/>
          <w:szCs w:val="24"/>
        </w:rPr>
        <w:t xml:space="preserve">– </w:t>
      </w:r>
      <w:hyperlink r:id="rId12" w:history="1">
        <w:r w:rsidR="001F764E" w:rsidRPr="006E7FDA">
          <w:rPr>
            <w:rStyle w:val="a7"/>
            <w:rFonts w:eastAsia="Times New Roman" w:cs="Times New Roman"/>
            <w:sz w:val="24"/>
            <w:szCs w:val="24"/>
          </w:rPr>
          <w:t>https://legal.report/article/24102016/legal.report-vpervye-raskryvaet-razmer-gonorarov-krupnyh-yuridicheskih-kompanij-rossii</w:t>
        </w:r>
      </w:hyperlink>
    </w:p>
    <w:p w14:paraId="404CA55F" w14:textId="4C082F80" w:rsidR="001F764E" w:rsidRDefault="001F764E" w:rsidP="001F764E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Рынок юридических услуг в России: что говорит статистика (Серия «Аналитические обзоры по проблемам правоприменения»). Авторы: Екатерина Моисеева, Дмитрий </w:t>
      </w:r>
      <w:proofErr w:type="spellStart"/>
      <w:r>
        <w:rPr>
          <w:rFonts w:cs="Arial"/>
          <w:sz w:val="24"/>
          <w:szCs w:val="24"/>
        </w:rPr>
        <w:t>Скугаревский</w:t>
      </w:r>
      <w:proofErr w:type="spellEnd"/>
      <w:r>
        <w:rPr>
          <w:rFonts w:cs="Arial"/>
          <w:sz w:val="24"/>
          <w:szCs w:val="24"/>
        </w:rPr>
        <w:t xml:space="preserve">. СПб: ИПП ЕУСПб, 2016. — 28 стр. Отчет подготовлен с использованием базы данных </w:t>
      </w:r>
      <w:proofErr w:type="spellStart"/>
      <w:r>
        <w:rPr>
          <w:rFonts w:cs="Arial"/>
          <w:sz w:val="24"/>
          <w:szCs w:val="24"/>
        </w:rPr>
        <w:t>Ruslana</w:t>
      </w:r>
      <w:proofErr w:type="spellEnd"/>
      <w:r>
        <w:rPr>
          <w:rFonts w:cs="Arial"/>
          <w:sz w:val="24"/>
          <w:szCs w:val="24"/>
        </w:rPr>
        <w:t xml:space="preserve">, в которой содержится информация по всем юридическим лицам России, Украины и Казахстана. Информация собирается компанией Bureau </w:t>
      </w:r>
      <w:proofErr w:type="spellStart"/>
      <w:r>
        <w:rPr>
          <w:rFonts w:cs="Arial"/>
          <w:sz w:val="24"/>
          <w:szCs w:val="24"/>
        </w:rPr>
        <w:t>van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Dijk</w:t>
      </w:r>
      <w:proofErr w:type="spellEnd"/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BvD</w:t>
      </w:r>
      <w:proofErr w:type="spellEnd"/>
      <w:r>
        <w:rPr>
          <w:rFonts w:cs="Arial"/>
          <w:sz w:val="24"/>
          <w:szCs w:val="24"/>
        </w:rPr>
        <w:t>), специализирующейся на составлении финансовых баз данных и бизнес-аналитике.</w:t>
      </w:r>
      <w:r w:rsidRPr="001F76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</w:t>
      </w:r>
      <w:hyperlink r:id="rId13" w:history="1">
        <w:r>
          <w:rPr>
            <w:rStyle w:val="a7"/>
            <w:rFonts w:cs="Arial"/>
            <w:sz w:val="24"/>
            <w:szCs w:val="24"/>
          </w:rPr>
          <w:t>http://www.enforce.spb.ru/images/lawfirms_report_e_version.pdf</w:t>
        </w:r>
      </w:hyperlink>
      <w:r>
        <w:rPr>
          <w:rFonts w:cs="Arial"/>
          <w:sz w:val="24"/>
          <w:szCs w:val="24"/>
        </w:rPr>
        <w:t xml:space="preserve"> </w:t>
      </w:r>
    </w:p>
    <w:p w14:paraId="57710B65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"Право.ru-300": Юридический рынок в 2015 году – </w:t>
      </w:r>
      <w:hyperlink r:id="rId14" w:history="1">
        <w:r w:rsidRPr="006E7FDA">
          <w:rPr>
            <w:rStyle w:val="a7"/>
            <w:rFonts w:cs="Arial"/>
            <w:sz w:val="24"/>
            <w:szCs w:val="24"/>
          </w:rPr>
          <w:t>https://pravo.ru/review/view/123833/</w:t>
        </w:r>
      </w:hyperlink>
      <w:r>
        <w:rPr>
          <w:rFonts w:cs="Arial"/>
          <w:sz w:val="24"/>
          <w:szCs w:val="24"/>
        </w:rPr>
        <w:t xml:space="preserve"> </w:t>
      </w:r>
    </w:p>
    <w:p w14:paraId="26CF1263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Зарплата-2017: сколько стоят юристы </w:t>
      </w:r>
      <w:hyperlink r:id="rId15" w:history="1">
        <w:r>
          <w:rPr>
            <w:rStyle w:val="a7"/>
            <w:rFonts w:cs="Arial"/>
            <w:sz w:val="24"/>
            <w:szCs w:val="24"/>
          </w:rPr>
          <w:t>https://pravo.ru/story/view/144879/</w:t>
        </w:r>
      </w:hyperlink>
      <w:r>
        <w:rPr>
          <w:rFonts w:cs="Arial"/>
          <w:sz w:val="24"/>
          <w:szCs w:val="24"/>
        </w:rPr>
        <w:t xml:space="preserve"> </w:t>
      </w:r>
    </w:p>
    <w:p w14:paraId="71011AA2" w14:textId="0B91CF19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«Право.ru» представляет исследование рынка </w:t>
      </w:r>
      <w:proofErr w:type="spellStart"/>
      <w:r>
        <w:rPr>
          <w:rFonts w:cs="Arial"/>
          <w:sz w:val="24"/>
          <w:szCs w:val="24"/>
        </w:rPr>
        <w:t>литигаторов</w:t>
      </w:r>
      <w:proofErr w:type="spellEnd"/>
      <w:r>
        <w:rPr>
          <w:rFonts w:cs="Arial"/>
          <w:sz w:val="24"/>
          <w:szCs w:val="24"/>
        </w:rPr>
        <w:t xml:space="preserve"> – </w:t>
      </w:r>
      <w:hyperlink r:id="rId16" w:history="1">
        <w:r w:rsidRPr="006E7FDA">
          <w:rPr>
            <w:rStyle w:val="a7"/>
            <w:rFonts w:cs="Arial"/>
            <w:sz w:val="24"/>
            <w:szCs w:val="24"/>
          </w:rPr>
          <w:t>https://pravo.ru/story/view/142721/</w:t>
        </w:r>
      </w:hyperlink>
      <w:r>
        <w:rPr>
          <w:rFonts w:cs="Arial"/>
          <w:sz w:val="24"/>
          <w:szCs w:val="24"/>
        </w:rPr>
        <w:t xml:space="preserve"> </w:t>
      </w:r>
    </w:p>
    <w:p w14:paraId="52679B4E" w14:textId="77777777" w:rsidR="001F764E" w:rsidRDefault="001F764E" w:rsidP="001F764E">
      <w:pPr>
        <w:pStyle w:val="a8"/>
        <w:numPr>
          <w:ilvl w:val="0"/>
          <w:numId w:val="16"/>
        </w:numPr>
        <w:spacing w:before="100"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Средняя стоимость услуг Юристов и Адвокатов в РФ по данным сайта </w:t>
      </w:r>
      <w:proofErr w:type="spellStart"/>
      <w:r>
        <w:rPr>
          <w:rFonts w:cs="Arial"/>
          <w:sz w:val="24"/>
          <w:szCs w:val="24"/>
        </w:rPr>
        <w:t>Праворуб</w:t>
      </w:r>
      <w:proofErr w:type="spellEnd"/>
      <w:r>
        <w:rPr>
          <w:rFonts w:cs="Arial"/>
          <w:sz w:val="24"/>
          <w:szCs w:val="24"/>
        </w:rPr>
        <w:t xml:space="preserve"> – </w:t>
      </w:r>
      <w:hyperlink r:id="rId17" w:history="1">
        <w:r w:rsidRPr="006E7FDA">
          <w:rPr>
            <w:rStyle w:val="a7"/>
            <w:rFonts w:cs="Arial"/>
            <w:sz w:val="24"/>
            <w:szCs w:val="24"/>
          </w:rPr>
          <w:t>https://pravorub.ru/users/stat/prices/4312/</w:t>
        </w:r>
      </w:hyperlink>
      <w:r>
        <w:rPr>
          <w:rFonts w:cs="Arial"/>
          <w:sz w:val="24"/>
          <w:szCs w:val="24"/>
        </w:rPr>
        <w:t xml:space="preserve"> </w:t>
      </w:r>
    </w:p>
    <w:p w14:paraId="5A61EBF7" w14:textId="77777777" w:rsidR="00441D0B" w:rsidRDefault="00091BCB">
      <w:pPr>
        <w:spacing w:before="120"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 Информация о проведенных тендерах на оказание юридических услуг:</w:t>
      </w:r>
    </w:p>
    <w:p w14:paraId="79A652E5" w14:textId="03EC8035" w:rsidR="00441D0B" w:rsidRDefault="007D5AAA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hyperlink r:id="rId18" w:history="1">
        <w:r w:rsidR="00091BCB">
          <w:rPr>
            <w:rFonts w:eastAsia="Times New Roman" w:cs="Times New Roman"/>
            <w:sz w:val="24"/>
            <w:szCs w:val="24"/>
          </w:rPr>
          <w:t>pravo.ru</w:t>
        </w:r>
      </w:hyperlink>
      <w:r w:rsidR="00091BCB">
        <w:rPr>
          <w:rFonts w:eastAsia="Times New Roman" w:cs="Times New Roman"/>
          <w:sz w:val="24"/>
          <w:szCs w:val="24"/>
        </w:rPr>
        <w:t xml:space="preserve"> </w:t>
      </w:r>
    </w:p>
    <w:p w14:paraId="7CC7182B" w14:textId="22FF2DCC" w:rsidR="00441D0B" w:rsidRDefault="007D5AAA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eastAsia="Times New Roman" w:cs="Times New Roman"/>
          <w:sz w:val="24"/>
          <w:szCs w:val="24"/>
        </w:rPr>
      </w:pPr>
      <w:hyperlink r:id="rId19" w:history="1">
        <w:r w:rsidR="00091BCB">
          <w:rPr>
            <w:rFonts w:eastAsia="Times New Roman" w:cs="Times New Roman"/>
            <w:sz w:val="24"/>
            <w:szCs w:val="24"/>
          </w:rPr>
          <w:t>zakupki.gov.ru</w:t>
        </w:r>
      </w:hyperlink>
    </w:p>
    <w:p w14:paraId="7CF728EC" w14:textId="77777777" w:rsidR="00441D0B" w:rsidRDefault="00091BCB">
      <w:pPr>
        <w:spacing w:before="120"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Прочие источники:</w:t>
      </w:r>
    </w:p>
    <w:p w14:paraId="4037CB7E" w14:textId="38481AC5" w:rsidR="00DA6977" w:rsidRPr="00DA6977" w:rsidRDefault="001F764E" w:rsidP="00DA6977">
      <w:pPr>
        <w:pStyle w:val="a8"/>
        <w:numPr>
          <w:ilvl w:val="0"/>
          <w:numId w:val="16"/>
        </w:numPr>
        <w:spacing w:after="0" w:line="276" w:lineRule="auto"/>
        <w:ind w:left="1423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Информация о </w:t>
      </w:r>
      <w:r w:rsidRPr="001F764E">
        <w:rPr>
          <w:rFonts w:cs="Arial"/>
          <w:sz w:val="24"/>
          <w:szCs w:val="24"/>
        </w:rPr>
        <w:t>судебных спорах между юристами/адвокатами и их клиентами</w:t>
      </w:r>
      <w:r w:rsidRPr="00DA697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– </w:t>
      </w:r>
      <w:r w:rsidRPr="00DA6977">
        <w:rPr>
          <w:rFonts w:cs="Arial"/>
          <w:sz w:val="24"/>
          <w:szCs w:val="24"/>
        </w:rPr>
        <w:t>картотека арбитражных дел «Электронное правосудие»</w:t>
      </w:r>
      <w:r>
        <w:rPr>
          <w:rFonts w:cs="Arial"/>
          <w:sz w:val="24"/>
          <w:szCs w:val="24"/>
        </w:rPr>
        <w:t>,</w:t>
      </w:r>
      <w:r w:rsidRPr="00DA6977">
        <w:rPr>
          <w:rFonts w:cs="Arial"/>
          <w:sz w:val="24"/>
          <w:szCs w:val="24"/>
        </w:rPr>
        <w:t xml:space="preserve"> </w:t>
      </w:r>
      <w:hyperlink r:id="rId20" w:history="1">
        <w:r w:rsidR="00DA6977" w:rsidRPr="001F764E">
          <w:rPr>
            <w:rStyle w:val="a7"/>
            <w:rFonts w:cs="Arial"/>
            <w:sz w:val="24"/>
            <w:szCs w:val="24"/>
          </w:rPr>
          <w:t>kad.arbitr.ru</w:t>
        </w:r>
      </w:hyperlink>
      <w:r w:rsidRPr="001F764E">
        <w:rPr>
          <w:rFonts w:cs="Arial"/>
          <w:sz w:val="24"/>
          <w:szCs w:val="24"/>
        </w:rPr>
        <w:t>.</w:t>
      </w:r>
    </w:p>
    <w:sectPr w:rsidR="00DA6977" w:rsidRPr="00DA6977">
      <w:foot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2CE1" w14:textId="77777777" w:rsidR="007D5AAA" w:rsidRDefault="007D5AAA">
      <w:pPr>
        <w:spacing w:after="0" w:line="240" w:lineRule="auto"/>
      </w:pPr>
      <w:r>
        <w:separator/>
      </w:r>
    </w:p>
  </w:endnote>
  <w:endnote w:type="continuationSeparator" w:id="0">
    <w:p w14:paraId="5B1175A6" w14:textId="77777777" w:rsidR="007D5AAA" w:rsidRDefault="007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464083"/>
      <w:docPartObj>
        <w:docPartGallery w:val="Page Numbers (Bottom of Page)"/>
        <w:docPartUnique/>
      </w:docPartObj>
    </w:sdtPr>
    <w:sdtEndPr/>
    <w:sdtContent>
      <w:p w14:paraId="208DEEDB" w14:textId="485CA31E" w:rsidR="009C0D4F" w:rsidRDefault="00DA6977" w:rsidP="00DA6977">
        <w:pPr>
          <w:pStyle w:val="af5"/>
          <w:pBdr>
            <w:top w:val="single" w:sz="4" w:space="1" w:color="auto"/>
          </w:pBdr>
        </w:pPr>
        <w:r w:rsidRPr="00DA6977">
          <w:rPr>
            <w:sz w:val="20"/>
            <w:szCs w:val="20"/>
          </w:rPr>
          <w:t>М</w:t>
        </w:r>
        <w:r>
          <w:rPr>
            <w:sz w:val="20"/>
            <w:szCs w:val="20"/>
          </w:rPr>
          <w:t>Р п</w:t>
        </w:r>
        <w:r w:rsidRPr="00DA6977">
          <w:rPr>
            <w:sz w:val="20"/>
            <w:szCs w:val="20"/>
          </w:rPr>
          <w:t>о оценке стоимости юридических услуг</w:t>
        </w:r>
        <w:r>
          <w:rPr>
            <w:sz w:val="20"/>
            <w:szCs w:val="20"/>
          </w:rPr>
          <w:t xml:space="preserve"> </w:t>
        </w:r>
        <w:r w:rsidRPr="00DA6977">
          <w:rPr>
            <w:sz w:val="20"/>
            <w:szCs w:val="20"/>
          </w:rPr>
          <w:t>по представительству интересов в судах</w:t>
        </w:r>
        <w:r w:rsidR="009C0D4F">
          <w:rPr>
            <w:sz w:val="24"/>
            <w:szCs w:val="24"/>
          </w:rPr>
          <w:tab/>
        </w:r>
        <w:r w:rsidR="009C0D4F">
          <w:fldChar w:fldCharType="begin"/>
        </w:r>
        <w:r w:rsidR="009C0D4F">
          <w:instrText>PAGE   \* MERGEFORMAT</w:instrText>
        </w:r>
        <w:r w:rsidR="009C0D4F">
          <w:fldChar w:fldCharType="separate"/>
        </w:r>
        <w:r w:rsidR="009C0D4F">
          <w:rPr>
            <w:noProof/>
          </w:rPr>
          <w:t>11</w:t>
        </w:r>
        <w:r w:rsidR="009C0D4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05CC" w14:textId="77777777" w:rsidR="007D5AAA" w:rsidRDefault="007D5AAA">
      <w:pPr>
        <w:spacing w:after="0" w:line="240" w:lineRule="auto"/>
      </w:pPr>
      <w:r>
        <w:separator/>
      </w:r>
    </w:p>
  </w:footnote>
  <w:footnote w:type="continuationSeparator" w:id="0">
    <w:p w14:paraId="53D5D84D" w14:textId="77777777" w:rsidR="007D5AAA" w:rsidRDefault="007D5AAA">
      <w:pPr>
        <w:spacing w:after="0" w:line="240" w:lineRule="auto"/>
      </w:pPr>
      <w:r>
        <w:continuationSeparator/>
      </w:r>
    </w:p>
  </w:footnote>
  <w:footnote w:id="1">
    <w:p w14:paraId="75B61450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hyperlink r:id="rId1" w:history="1">
        <w:r>
          <w:rPr>
            <w:rStyle w:val="a7"/>
            <w:rFonts w:cs="Arial"/>
          </w:rPr>
          <w:t>https://pravo.ru/story/200608/</w:t>
        </w:r>
      </w:hyperlink>
    </w:p>
  </w:footnote>
  <w:footnote w:id="2">
    <w:p w14:paraId="65363D5E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cs="Arial"/>
        </w:rPr>
        <w:t xml:space="preserve">Ежегодное исследование стоимости услуг по представлению интересов в судах Москвы и Московской области в 2017 году – </w:t>
      </w:r>
      <w:hyperlink r:id="rId2" w:history="1">
        <w:r>
          <w:rPr>
            <w:rStyle w:val="a7"/>
            <w:rFonts w:cs="Arial"/>
          </w:rPr>
          <w:t>https://www.veta.expert/upload/Legal_research_Moscow_2017.pdf</w:t>
        </w:r>
      </w:hyperlink>
    </w:p>
  </w:footnote>
  <w:footnote w:id="3">
    <w:p w14:paraId="6CDD262C" w14:textId="77777777" w:rsidR="009C0D4F" w:rsidRDefault="009C0D4F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Style w:val="a7"/>
          <w:rFonts w:cs="Arial"/>
        </w:rPr>
        <w:t>https://casebook.ru/File/PdfDocument/b4f602a2-8e3e-4f7b-afdd-daa2d3411c40/A40-171885-2014_20180322_Postanovlenie_apelljacionnoj_instancii.pdf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1CE"/>
    <w:multiLevelType w:val="hybridMultilevel"/>
    <w:tmpl w:val="7446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4C5"/>
    <w:multiLevelType w:val="hybridMultilevel"/>
    <w:tmpl w:val="56F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EC9"/>
    <w:multiLevelType w:val="hybridMultilevel"/>
    <w:tmpl w:val="E27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169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176"/>
    <w:multiLevelType w:val="hybridMultilevel"/>
    <w:tmpl w:val="366E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B0"/>
    <w:multiLevelType w:val="hybridMultilevel"/>
    <w:tmpl w:val="B376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E15C9"/>
    <w:multiLevelType w:val="hybridMultilevel"/>
    <w:tmpl w:val="02C22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E327F8"/>
    <w:multiLevelType w:val="hybridMultilevel"/>
    <w:tmpl w:val="0BA2CA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1332B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1752"/>
    <w:multiLevelType w:val="hybridMultilevel"/>
    <w:tmpl w:val="9EC8F3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5404AA"/>
    <w:multiLevelType w:val="hybridMultilevel"/>
    <w:tmpl w:val="44D86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572F08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1479"/>
    <w:multiLevelType w:val="hybridMultilevel"/>
    <w:tmpl w:val="4B7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32A1"/>
    <w:multiLevelType w:val="hybridMultilevel"/>
    <w:tmpl w:val="064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08C"/>
    <w:multiLevelType w:val="hybridMultilevel"/>
    <w:tmpl w:val="2FAAD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B86265"/>
    <w:multiLevelType w:val="hybridMultilevel"/>
    <w:tmpl w:val="F5846E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B7E6A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21A0"/>
    <w:multiLevelType w:val="hybridMultilevel"/>
    <w:tmpl w:val="782A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1336"/>
    <w:multiLevelType w:val="hybridMultilevel"/>
    <w:tmpl w:val="B86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916D1"/>
    <w:multiLevelType w:val="hybridMultilevel"/>
    <w:tmpl w:val="04F0BDC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90C6091"/>
    <w:multiLevelType w:val="hybridMultilevel"/>
    <w:tmpl w:val="EA92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8098F"/>
    <w:multiLevelType w:val="hybridMultilevel"/>
    <w:tmpl w:val="C7BC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7506F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8063A"/>
    <w:multiLevelType w:val="hybridMultilevel"/>
    <w:tmpl w:val="04BE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B70"/>
    <w:multiLevelType w:val="multilevel"/>
    <w:tmpl w:val="AD5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C10E89"/>
    <w:multiLevelType w:val="hybridMultilevel"/>
    <w:tmpl w:val="093EC8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F21846"/>
    <w:multiLevelType w:val="hybridMultilevel"/>
    <w:tmpl w:val="DA7EB9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B3F43"/>
    <w:multiLevelType w:val="hybridMultilevel"/>
    <w:tmpl w:val="57302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382B05"/>
    <w:multiLevelType w:val="hybridMultilevel"/>
    <w:tmpl w:val="205A5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1B78BE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852AF"/>
    <w:multiLevelType w:val="hybridMultilevel"/>
    <w:tmpl w:val="51F8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B3E98"/>
    <w:multiLevelType w:val="hybridMultilevel"/>
    <w:tmpl w:val="3C3A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543FD"/>
    <w:multiLevelType w:val="hybridMultilevel"/>
    <w:tmpl w:val="1062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3999"/>
    <w:multiLevelType w:val="hybridMultilevel"/>
    <w:tmpl w:val="E3B6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75523">
    <w:abstractNumId w:val="28"/>
  </w:num>
  <w:num w:numId="2" w16cid:durableId="1308390601">
    <w:abstractNumId w:val="1"/>
  </w:num>
  <w:num w:numId="3" w16cid:durableId="1076168011">
    <w:abstractNumId w:val="15"/>
  </w:num>
  <w:num w:numId="4" w16cid:durableId="2097431890">
    <w:abstractNumId w:val="26"/>
  </w:num>
  <w:num w:numId="5" w16cid:durableId="1384209758">
    <w:abstractNumId w:val="19"/>
  </w:num>
  <w:num w:numId="6" w16cid:durableId="1056782210">
    <w:abstractNumId w:val="7"/>
  </w:num>
  <w:num w:numId="7" w16cid:durableId="173303301">
    <w:abstractNumId w:val="9"/>
  </w:num>
  <w:num w:numId="8" w16cid:durableId="1183862321">
    <w:abstractNumId w:val="5"/>
  </w:num>
  <w:num w:numId="9" w16cid:durableId="1601180146">
    <w:abstractNumId w:val="31"/>
  </w:num>
  <w:num w:numId="10" w16cid:durableId="824012397">
    <w:abstractNumId w:val="11"/>
  </w:num>
  <w:num w:numId="11" w16cid:durableId="1285304263">
    <w:abstractNumId w:val="13"/>
  </w:num>
  <w:num w:numId="12" w16cid:durableId="1797139153">
    <w:abstractNumId w:val="21"/>
  </w:num>
  <w:num w:numId="13" w16cid:durableId="1036539279">
    <w:abstractNumId w:val="23"/>
  </w:num>
  <w:num w:numId="14" w16cid:durableId="927159426">
    <w:abstractNumId w:val="2"/>
  </w:num>
  <w:num w:numId="15" w16cid:durableId="1942833600">
    <w:abstractNumId w:val="33"/>
  </w:num>
  <w:num w:numId="16" w16cid:durableId="676343797">
    <w:abstractNumId w:val="10"/>
  </w:num>
  <w:num w:numId="17" w16cid:durableId="465513702">
    <w:abstractNumId w:val="27"/>
  </w:num>
  <w:num w:numId="18" w16cid:durableId="1527718385">
    <w:abstractNumId w:val="32"/>
  </w:num>
  <w:num w:numId="19" w16cid:durableId="349338125">
    <w:abstractNumId w:val="14"/>
  </w:num>
  <w:num w:numId="20" w16cid:durableId="1618490115">
    <w:abstractNumId w:val="17"/>
  </w:num>
  <w:num w:numId="21" w16cid:durableId="684091831">
    <w:abstractNumId w:val="0"/>
  </w:num>
  <w:num w:numId="22" w16cid:durableId="1593314208">
    <w:abstractNumId w:val="29"/>
  </w:num>
  <w:num w:numId="23" w16cid:durableId="2072002159">
    <w:abstractNumId w:val="8"/>
  </w:num>
  <w:num w:numId="24" w16cid:durableId="202906456">
    <w:abstractNumId w:val="3"/>
  </w:num>
  <w:num w:numId="25" w16cid:durableId="1548640664">
    <w:abstractNumId w:val="16"/>
  </w:num>
  <w:num w:numId="26" w16cid:durableId="970404351">
    <w:abstractNumId w:val="22"/>
  </w:num>
  <w:num w:numId="27" w16cid:durableId="687022390">
    <w:abstractNumId w:val="30"/>
  </w:num>
  <w:num w:numId="28" w16cid:durableId="1745369251">
    <w:abstractNumId w:val="6"/>
  </w:num>
  <w:num w:numId="29" w16cid:durableId="131868829">
    <w:abstractNumId w:val="12"/>
  </w:num>
  <w:num w:numId="30" w16cid:durableId="1743598125">
    <w:abstractNumId w:val="18"/>
  </w:num>
  <w:num w:numId="31" w16cid:durableId="82343227">
    <w:abstractNumId w:val="20"/>
  </w:num>
  <w:num w:numId="32" w16cid:durableId="161092593">
    <w:abstractNumId w:val="4"/>
  </w:num>
  <w:num w:numId="33" w16cid:durableId="1692949535">
    <w:abstractNumId w:val="24"/>
  </w:num>
  <w:num w:numId="34" w16cid:durableId="6556922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B"/>
    <w:rsid w:val="00061CA9"/>
    <w:rsid w:val="00080E1C"/>
    <w:rsid w:val="00091BCB"/>
    <w:rsid w:val="000D6EF6"/>
    <w:rsid w:val="001E28FC"/>
    <w:rsid w:val="001F764E"/>
    <w:rsid w:val="00245044"/>
    <w:rsid w:val="003C3092"/>
    <w:rsid w:val="00441D0B"/>
    <w:rsid w:val="00535FEE"/>
    <w:rsid w:val="00626234"/>
    <w:rsid w:val="006D57AD"/>
    <w:rsid w:val="00773120"/>
    <w:rsid w:val="007D5AAA"/>
    <w:rsid w:val="0081266D"/>
    <w:rsid w:val="0084628F"/>
    <w:rsid w:val="009C0D4F"/>
    <w:rsid w:val="00B03350"/>
    <w:rsid w:val="00B76E04"/>
    <w:rsid w:val="00BE5422"/>
    <w:rsid w:val="00BE5949"/>
    <w:rsid w:val="00CC2390"/>
    <w:rsid w:val="00D336DC"/>
    <w:rsid w:val="00D45552"/>
    <w:rsid w:val="00D87956"/>
    <w:rsid w:val="00DA6977"/>
    <w:rsid w:val="00E35A73"/>
    <w:rsid w:val="00F65C5D"/>
    <w:rsid w:val="00F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440B"/>
  <w15:docId w15:val="{B1DF1C61-3776-462A-8B49-6E7D8145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eastAsiaTheme="minorEastAsi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-451">
    <w:name w:val="Таблица-сетка 4 — акцент 51"/>
    <w:basedOn w:val="a1"/>
    <w:uiPriority w:val="4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7">
    <w:name w:val="Placeholder Text"/>
    <w:basedOn w:val="a0"/>
    <w:uiPriority w:val="99"/>
    <w:semiHidden/>
    <w:rPr>
      <w:color w:val="808080"/>
    </w:rPr>
  </w:style>
  <w:style w:type="paragraph" w:styleId="af8">
    <w:name w:val="annotation subject"/>
    <w:basedOn w:val="ab"/>
    <w:next w:val="ab"/>
    <w:link w:val="af9"/>
    <w:uiPriority w:val="99"/>
    <w:semiHidden/>
    <w:unhideWhenUsed/>
    <w:pPr>
      <w:spacing w:before="0" w:after="160"/>
    </w:pPr>
    <w:rPr>
      <w:rFonts w:eastAsiaTheme="minorHAnsi"/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Pr>
      <w:rFonts w:eastAsiaTheme="minorEastAsia"/>
      <w:b/>
      <w:bCs/>
      <w:sz w:val="20"/>
      <w:szCs w:val="20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a">
    <w:basedOn w:val="a"/>
    <w:next w:val="a3"/>
    <w:link w:val="afb"/>
    <w:uiPriority w:val="99"/>
    <w:qFormat/>
    <w:rsid w:val="009C0D4F"/>
    <w:pPr>
      <w:spacing w:after="0" w:line="240" w:lineRule="auto"/>
      <w:jc w:val="center"/>
    </w:pPr>
    <w:rPr>
      <w:rFonts w:ascii="Times New Roman" w:hAnsi="Times New Roman"/>
      <w:b/>
      <w:sz w:val="24"/>
      <w:lang w:val="x-none" w:eastAsia="ru-RU"/>
    </w:rPr>
  </w:style>
  <w:style w:type="character" w:customStyle="1" w:styleId="afb">
    <w:name w:val="Название Знак"/>
    <w:link w:val="afa"/>
    <w:uiPriority w:val="99"/>
    <w:locked/>
    <w:rsid w:val="009C0D4F"/>
    <w:rPr>
      <w:rFonts w:ascii="Times New Roman" w:hAnsi="Times New Roman"/>
      <w:b/>
      <w:sz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DA6977"/>
  </w:style>
  <w:style w:type="character" w:styleId="afc">
    <w:name w:val="Unresolved Mention"/>
    <w:basedOn w:val="a0"/>
    <w:uiPriority w:val="99"/>
    <w:semiHidden/>
    <w:unhideWhenUsed/>
    <w:rsid w:val="001F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-research.ru/" TargetMode="External"/><Relationship Id="rId13" Type="http://schemas.openxmlformats.org/officeDocument/2006/relationships/hyperlink" Target="http://www.enforce.spb.ru/images/lawfirms_report_e_version.pdf" TargetMode="External"/><Relationship Id="rId18" Type="http://schemas.openxmlformats.org/officeDocument/2006/relationships/hyperlink" Target="https://pravo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egal.report/article/24102016/legal.report-vpervye-raskryvaet-razmer-gonorarov-krupnyh-yuridicheskih-kompanij-rossii" TargetMode="External"/><Relationship Id="rId17" Type="http://schemas.openxmlformats.org/officeDocument/2006/relationships/hyperlink" Target="https://pravorub.ru/users/stat/prices/43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.ru/story/view/142721/" TargetMode="External"/><Relationship Id="rId20" Type="http://schemas.openxmlformats.org/officeDocument/2006/relationships/hyperlink" Target="file:///C:\Users\&#1055;&#1086;&#1090;&#1086;&#1094;&#1082;&#1072;&#1103;%20&#1040;&#1040;\AppData\Roaming\Skype\My%20Skype%20Received%20Files\kad.arbi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oncaine.com/resources/files/associates_survey_2016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.ru/story/view/14487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idi-jurista.ru/club/blog/News/74.php" TargetMode="External"/><Relationship Id="rId19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rub.ru/users/stat/prices/4312/" TargetMode="External"/><Relationship Id="rId14" Type="http://schemas.openxmlformats.org/officeDocument/2006/relationships/hyperlink" Target="https://pravo.ru/review/view/123833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ta.expert/upload/Legal_research_Moscow_2017.pdf" TargetMode="External"/><Relationship Id="rId1" Type="http://schemas.openxmlformats.org/officeDocument/2006/relationships/hyperlink" Target="https://pravo.ru/story/200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655B-3124-4235-A7D7-6C3DF141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 Ильин</dc:creator>
  <cp:lastModifiedBy>Murat Kurbanov</cp:lastModifiedBy>
  <cp:revision>2</cp:revision>
  <cp:lastPrinted>2018-07-03T12:00:00Z</cp:lastPrinted>
  <dcterms:created xsi:type="dcterms:W3CDTF">2022-06-03T11:29:00Z</dcterms:created>
  <dcterms:modified xsi:type="dcterms:W3CDTF">2022-06-03T11:29:00Z</dcterms:modified>
</cp:coreProperties>
</file>