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AD68E" w14:textId="7E2E17A2" w:rsidR="00A148AE" w:rsidRPr="00A148AE" w:rsidRDefault="00A148AE" w:rsidP="00A148AE">
      <w:pPr>
        <w:spacing w:before="120" w:line="276" w:lineRule="auto"/>
        <w:jc w:val="center"/>
        <w:outlineLvl w:val="1"/>
        <w:rPr>
          <w:rFonts w:cstheme="minorHAnsi"/>
          <w:b/>
          <w:color w:val="000000"/>
          <w:sz w:val="26"/>
          <w:szCs w:val="26"/>
          <w:shd w:val="clear" w:color="auto" w:fill="FFFFFF"/>
        </w:rPr>
      </w:pPr>
      <w:bookmarkStart w:id="0" w:name="_Toc99381746"/>
      <w:r w:rsidRPr="00A148AE">
        <w:rPr>
          <w:rFonts w:cstheme="minorHAnsi"/>
          <w:b/>
          <w:color w:val="000000"/>
          <w:sz w:val="26"/>
          <w:szCs w:val="26"/>
          <w:shd w:val="clear" w:color="auto" w:fill="FFFFFF"/>
        </w:rPr>
        <w:t xml:space="preserve">11.3. </w:t>
      </w:r>
      <w:r w:rsidRPr="00A148AE">
        <w:rPr>
          <w:rFonts w:cstheme="minorHAnsi"/>
          <w:b/>
          <w:color w:val="000000"/>
          <w:sz w:val="26"/>
          <w:szCs w:val="26"/>
          <w:shd w:val="clear" w:color="auto" w:fill="FFFFFF"/>
        </w:rPr>
        <w:t>Интеллектуальная собственность как предмет залога</w:t>
      </w:r>
      <w:bookmarkEnd w:id="0"/>
    </w:p>
    <w:p w14:paraId="1C95D217" w14:textId="6FA6AC46" w:rsidR="00A148AE" w:rsidRPr="00A148AE" w:rsidRDefault="00A148AE" w:rsidP="00A148AE">
      <w:pPr>
        <w:autoSpaceDE w:val="0"/>
        <w:autoSpaceDN w:val="0"/>
        <w:adjustRightInd w:val="0"/>
        <w:spacing w:before="120" w:line="276" w:lineRule="auto"/>
        <w:ind w:left="720"/>
        <w:jc w:val="both"/>
        <w:rPr>
          <w:rStyle w:val="hl"/>
          <w:rFonts w:cstheme="minorHAnsi"/>
          <w:bCs/>
          <w:sz w:val="24"/>
          <w:szCs w:val="24"/>
          <w:shd w:val="clear" w:color="auto" w:fill="FFFFFF"/>
        </w:rPr>
      </w:pPr>
      <w:r w:rsidRPr="00A148AE">
        <w:rPr>
          <w:rStyle w:val="hl"/>
          <w:rFonts w:cstheme="minorHAnsi"/>
          <w:bCs/>
          <w:sz w:val="24"/>
          <w:szCs w:val="24"/>
          <w:shd w:val="clear" w:color="auto" w:fill="FFFFFF"/>
        </w:rPr>
        <w:t xml:space="preserve">11.3.1. </w:t>
      </w:r>
      <w:r w:rsidRPr="00A148AE">
        <w:rPr>
          <w:rStyle w:val="hl"/>
          <w:rFonts w:cstheme="minorHAnsi"/>
          <w:bCs/>
          <w:sz w:val="24"/>
          <w:szCs w:val="24"/>
          <w:shd w:val="clear" w:color="auto" w:fill="FFFFFF"/>
        </w:rPr>
        <w:t>ИС может быть использована в качестве предмета залога, поскольку:</w:t>
      </w:r>
    </w:p>
    <w:p w14:paraId="3AA9814A" w14:textId="77777777" w:rsidR="00A148AE" w:rsidRPr="00A148AE" w:rsidRDefault="00A148AE" w:rsidP="00A148AE">
      <w:pPr>
        <w:pStyle w:val="a3"/>
        <w:numPr>
          <w:ilvl w:val="0"/>
          <w:numId w:val="3"/>
        </w:numPr>
        <w:autoSpaceDE w:val="0"/>
        <w:autoSpaceDN w:val="0"/>
        <w:adjustRightInd w:val="0"/>
        <w:spacing w:line="276" w:lineRule="auto"/>
        <w:jc w:val="both"/>
        <w:rPr>
          <w:rFonts w:asciiTheme="minorHAnsi" w:eastAsia="Times New Roman" w:hAnsiTheme="minorHAnsi" w:cstheme="minorHAnsi"/>
        </w:rPr>
      </w:pPr>
      <w:r w:rsidRPr="00A148AE">
        <w:rPr>
          <w:rStyle w:val="hl"/>
          <w:rFonts w:asciiTheme="minorHAnsi" w:hAnsiTheme="minorHAnsi" w:cstheme="minorHAnsi"/>
          <w:bCs/>
          <w:shd w:val="clear" w:color="auto" w:fill="FFFFFF"/>
        </w:rPr>
        <w:t>п. 1 Статьи 336 ГК РФ – «</w:t>
      </w:r>
      <w:r w:rsidRPr="00A148AE">
        <w:rPr>
          <w:rFonts w:asciiTheme="minorHAnsi" w:eastAsia="Times New Roman" w:hAnsiTheme="minorHAnsi" w:cstheme="minorHAnsi"/>
        </w:rPr>
        <w:t>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14:paraId="13D1D1EC" w14:textId="77777777" w:rsidR="00A148AE" w:rsidRPr="00A148AE" w:rsidRDefault="00A148AE" w:rsidP="00A148AE">
      <w:pPr>
        <w:pStyle w:val="a3"/>
        <w:numPr>
          <w:ilvl w:val="0"/>
          <w:numId w:val="3"/>
        </w:numPr>
        <w:autoSpaceDE w:val="0"/>
        <w:autoSpaceDN w:val="0"/>
        <w:adjustRightInd w:val="0"/>
        <w:spacing w:line="276" w:lineRule="auto"/>
        <w:jc w:val="both"/>
        <w:rPr>
          <w:rStyle w:val="hl"/>
          <w:rFonts w:asciiTheme="minorHAnsi" w:hAnsiTheme="minorHAnsi" w:cstheme="minorHAnsi"/>
          <w:bCs/>
          <w:shd w:val="clear" w:color="auto" w:fill="FFFFFF"/>
        </w:rPr>
      </w:pPr>
      <w:r w:rsidRPr="00A148AE">
        <w:rPr>
          <w:rStyle w:val="hl"/>
          <w:rFonts w:asciiTheme="minorHAnsi" w:hAnsiTheme="minorHAnsi" w:cstheme="minorHAnsi"/>
          <w:bCs/>
          <w:shd w:val="clear" w:color="auto" w:fill="FFFFFF"/>
        </w:rPr>
        <w:t>п. 1 Статьи 358.18 ГК РФ – «</w:t>
      </w:r>
      <w:r w:rsidRPr="00A148AE">
        <w:rPr>
          <w:rStyle w:val="hl"/>
          <w:rFonts w:asciiTheme="minorHAnsi" w:hAnsiTheme="minorHAnsi" w:cstheme="minorHAnsi"/>
          <w:bCs/>
        </w:rPr>
        <w:t>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5" w:anchor="dst100010" w:history="1">
        <w:r w:rsidRPr="00A148AE">
          <w:rPr>
            <w:rStyle w:val="hl"/>
            <w:rFonts w:asciiTheme="minorHAnsi" w:hAnsiTheme="minorHAnsi" w:cstheme="minorHAnsi"/>
            <w:bCs/>
          </w:rPr>
          <w:t>(пункт 1 статьи 1225)</w:t>
        </w:r>
      </w:hyperlink>
      <w:r w:rsidRPr="00A148AE">
        <w:rPr>
          <w:rStyle w:val="hl"/>
          <w:rFonts w:asciiTheme="minorHAnsi" w:hAnsiTheme="minorHAnsi" w:cstheme="minorHAnsi"/>
          <w:bCs/>
        </w:rPr>
        <w:t xml:space="preserve"> могут быть предметом залога в той мере, в какой правила настоящего Кодекса допускают их отчуждение»;</w:t>
      </w:r>
    </w:p>
    <w:p w14:paraId="736EFCA2" w14:textId="77777777" w:rsidR="00A148AE" w:rsidRPr="00A148AE" w:rsidRDefault="00A148AE" w:rsidP="00A148AE">
      <w:pPr>
        <w:pStyle w:val="a3"/>
        <w:numPr>
          <w:ilvl w:val="0"/>
          <w:numId w:val="3"/>
        </w:numPr>
        <w:autoSpaceDE w:val="0"/>
        <w:autoSpaceDN w:val="0"/>
        <w:adjustRightInd w:val="0"/>
        <w:spacing w:line="276" w:lineRule="auto"/>
        <w:jc w:val="both"/>
        <w:rPr>
          <w:rStyle w:val="hl"/>
          <w:rFonts w:asciiTheme="minorHAnsi" w:hAnsiTheme="minorHAnsi" w:cstheme="minorHAnsi"/>
          <w:bCs/>
          <w:shd w:val="clear" w:color="auto" w:fill="FFFFFF"/>
        </w:rPr>
      </w:pPr>
      <w:r w:rsidRPr="00A148AE">
        <w:rPr>
          <w:rStyle w:val="hl"/>
          <w:rFonts w:asciiTheme="minorHAnsi" w:hAnsiTheme="minorHAnsi" w:cstheme="minorHAnsi"/>
          <w:bCs/>
          <w:shd w:val="clear" w:color="auto" w:fill="FFFFFF"/>
        </w:rPr>
        <w:t>п. 3 ФСО №9 – «Для целей настоящего Федерального стандарта оценки под объектом оценки понимаются объекты гражданских прав, в отношении которых законодательством Российской Федерации установлена возможность их участия в гражданском обороте и залог которых не запрещен действующим законодательством Российской Федерации».</w:t>
      </w:r>
    </w:p>
    <w:p w14:paraId="03DED202" w14:textId="2EAA8AD9" w:rsidR="00A148AE" w:rsidRPr="00A148AE" w:rsidRDefault="00A148AE" w:rsidP="00A148AE">
      <w:pPr>
        <w:autoSpaceDE w:val="0"/>
        <w:autoSpaceDN w:val="0"/>
        <w:adjustRightInd w:val="0"/>
        <w:spacing w:before="120" w:line="276" w:lineRule="auto"/>
        <w:ind w:left="720"/>
        <w:jc w:val="both"/>
        <w:rPr>
          <w:rFonts w:cstheme="minorHAnsi"/>
          <w:sz w:val="24"/>
          <w:szCs w:val="24"/>
          <w:shd w:val="clear" w:color="auto" w:fill="FFFFFF"/>
        </w:rPr>
      </w:pPr>
      <w:r w:rsidRPr="00A148AE">
        <w:rPr>
          <w:rFonts w:cstheme="minorHAnsi"/>
          <w:sz w:val="24"/>
          <w:szCs w:val="24"/>
          <w:shd w:val="clear" w:color="auto" w:fill="FFFFFF"/>
        </w:rPr>
        <w:t xml:space="preserve">11.3.2. </w:t>
      </w:r>
      <w:r w:rsidRPr="00A148AE">
        <w:rPr>
          <w:rFonts w:cstheme="minorHAnsi"/>
          <w:sz w:val="24"/>
          <w:szCs w:val="24"/>
          <w:shd w:val="clear" w:color="auto" w:fill="FFFFFF"/>
        </w:rPr>
        <w:t>Требования к ИС (правам на результаты интеллектуальной деятельности и средства индивидуализации) при залоге:</w:t>
      </w:r>
    </w:p>
    <w:p w14:paraId="162B53A5" w14:textId="77777777" w:rsidR="00A148AE" w:rsidRPr="00A148AE" w:rsidRDefault="00A148AE" w:rsidP="00A148AE">
      <w:pPr>
        <w:pStyle w:val="a3"/>
        <w:numPr>
          <w:ilvl w:val="0"/>
          <w:numId w:val="2"/>
        </w:numPr>
        <w:spacing w:line="276" w:lineRule="auto"/>
        <w:ind w:left="1434" w:hanging="357"/>
        <w:jc w:val="both"/>
        <w:rPr>
          <w:rFonts w:asciiTheme="minorHAnsi" w:hAnsiTheme="minorHAnsi" w:cstheme="minorHAnsi"/>
        </w:rPr>
      </w:pPr>
      <w:r w:rsidRPr="00A148AE">
        <w:rPr>
          <w:rFonts w:asciiTheme="minorHAnsi" w:hAnsiTheme="minorHAnsi" w:cstheme="minorHAnsi"/>
        </w:rPr>
        <w:t>имущественные права,</w:t>
      </w:r>
    </w:p>
    <w:p w14:paraId="1734AE45" w14:textId="77777777" w:rsidR="00A148AE" w:rsidRPr="00A148AE" w:rsidRDefault="00A148AE" w:rsidP="00A148AE">
      <w:pPr>
        <w:pStyle w:val="a3"/>
        <w:numPr>
          <w:ilvl w:val="0"/>
          <w:numId w:val="2"/>
        </w:numPr>
        <w:spacing w:line="276" w:lineRule="auto"/>
        <w:ind w:left="1434" w:hanging="357"/>
        <w:jc w:val="both"/>
        <w:rPr>
          <w:rFonts w:asciiTheme="minorHAnsi" w:hAnsiTheme="minorHAnsi" w:cstheme="minorHAnsi"/>
        </w:rPr>
      </w:pPr>
      <w:r w:rsidRPr="00A148AE">
        <w:rPr>
          <w:rFonts w:asciiTheme="minorHAnsi" w:hAnsiTheme="minorHAnsi" w:cstheme="minorHAnsi"/>
        </w:rPr>
        <w:t>возможность отчуждения отдельно от правообладателя,</w:t>
      </w:r>
    </w:p>
    <w:p w14:paraId="5B0E51ED" w14:textId="77777777" w:rsidR="00A148AE" w:rsidRPr="00A148AE" w:rsidRDefault="00A148AE" w:rsidP="00A148AE">
      <w:pPr>
        <w:pStyle w:val="a3"/>
        <w:numPr>
          <w:ilvl w:val="0"/>
          <w:numId w:val="2"/>
        </w:numPr>
        <w:spacing w:line="276" w:lineRule="auto"/>
        <w:ind w:left="1434" w:hanging="357"/>
        <w:jc w:val="both"/>
        <w:rPr>
          <w:rFonts w:asciiTheme="minorHAnsi" w:hAnsiTheme="minorHAnsi" w:cstheme="minorHAnsi"/>
        </w:rPr>
      </w:pPr>
      <w:r w:rsidRPr="00A148AE">
        <w:rPr>
          <w:rFonts w:asciiTheme="minorHAnsi" w:hAnsiTheme="minorHAnsi" w:cstheme="minorHAnsi"/>
        </w:rPr>
        <w:t>возможность обращения взыскания,</w:t>
      </w:r>
    </w:p>
    <w:p w14:paraId="4F69C82A" w14:textId="77777777" w:rsidR="00A148AE" w:rsidRPr="00A148AE" w:rsidRDefault="00A148AE" w:rsidP="00A148AE">
      <w:pPr>
        <w:pStyle w:val="a3"/>
        <w:numPr>
          <w:ilvl w:val="0"/>
          <w:numId w:val="2"/>
        </w:numPr>
        <w:spacing w:line="276" w:lineRule="auto"/>
        <w:ind w:left="1434" w:hanging="357"/>
        <w:jc w:val="both"/>
        <w:rPr>
          <w:rFonts w:asciiTheme="minorHAnsi" w:hAnsiTheme="minorHAnsi" w:cstheme="minorHAnsi"/>
        </w:rPr>
      </w:pPr>
      <w:r w:rsidRPr="00A148AE">
        <w:rPr>
          <w:rFonts w:asciiTheme="minorHAnsi" w:hAnsiTheme="minorHAnsi" w:cstheme="minorHAnsi"/>
        </w:rPr>
        <w:t>возможность передачи прав другому лицу.</w:t>
      </w:r>
    </w:p>
    <w:p w14:paraId="2830CFA5" w14:textId="09A52C06" w:rsidR="00A148AE" w:rsidRPr="00A148AE" w:rsidRDefault="00A148AE" w:rsidP="00A148AE">
      <w:pPr>
        <w:autoSpaceDE w:val="0"/>
        <w:autoSpaceDN w:val="0"/>
        <w:adjustRightInd w:val="0"/>
        <w:spacing w:before="120" w:line="276" w:lineRule="auto"/>
        <w:ind w:left="720"/>
        <w:jc w:val="both"/>
        <w:rPr>
          <w:rFonts w:cstheme="minorHAnsi"/>
          <w:sz w:val="24"/>
          <w:szCs w:val="24"/>
          <w:shd w:val="clear" w:color="auto" w:fill="FFFFFF"/>
        </w:rPr>
      </w:pPr>
      <w:r w:rsidRPr="00A148AE">
        <w:rPr>
          <w:rFonts w:cstheme="minorHAnsi"/>
          <w:sz w:val="24"/>
          <w:szCs w:val="24"/>
          <w:shd w:val="clear" w:color="auto" w:fill="FFFFFF"/>
        </w:rPr>
        <w:t xml:space="preserve">11.3.3. </w:t>
      </w:r>
      <w:r w:rsidRPr="00A148AE">
        <w:rPr>
          <w:rFonts w:cstheme="minorHAnsi"/>
          <w:sz w:val="24"/>
          <w:szCs w:val="24"/>
          <w:shd w:val="clear" w:color="auto" w:fill="FFFFFF"/>
        </w:rPr>
        <w:t>Предметом залога не могут выступать личные неимущественные права. Не могут быть предметом залога исключительное право на наименование места происхождения товаров, фирменное наименование, коллективный товарный знак, право следования, право доступа, право авторства на изобретение и другие непередаваемые права.</w:t>
      </w:r>
    </w:p>
    <w:p w14:paraId="739AC55B" w14:textId="52E7932D" w:rsidR="00A148AE" w:rsidRPr="00A148AE" w:rsidRDefault="00A148AE" w:rsidP="00A148AE">
      <w:pPr>
        <w:autoSpaceDE w:val="0"/>
        <w:autoSpaceDN w:val="0"/>
        <w:adjustRightInd w:val="0"/>
        <w:spacing w:before="120" w:line="276" w:lineRule="auto"/>
        <w:ind w:left="720"/>
        <w:jc w:val="both"/>
        <w:rPr>
          <w:rFonts w:cstheme="minorHAnsi"/>
          <w:sz w:val="24"/>
          <w:szCs w:val="24"/>
          <w:shd w:val="clear" w:color="auto" w:fill="FFFFFF"/>
        </w:rPr>
      </w:pPr>
      <w:r w:rsidRPr="00A148AE">
        <w:rPr>
          <w:rFonts w:cstheme="minorHAnsi"/>
          <w:sz w:val="24"/>
          <w:szCs w:val="24"/>
          <w:shd w:val="clear" w:color="auto" w:fill="FFFFFF"/>
        </w:rPr>
        <w:t xml:space="preserve">11.3.4. </w:t>
      </w:r>
      <w:r w:rsidRPr="00A148AE">
        <w:rPr>
          <w:rFonts w:cstheme="minorHAnsi"/>
          <w:sz w:val="24"/>
          <w:szCs w:val="24"/>
          <w:shd w:val="clear" w:color="auto" w:fill="FFFFFF"/>
        </w:rPr>
        <w:t>Предметом залога могут быть исключительные права на результаты интеллектуальной деятельности и средства индивидуализации, охраняемые гражданским законодательством (часть 4 ГК РФ): произведения литературы, науки и искусства, изобретения, полезные модели, промышленные образцы, селекционные достижения, топологии интегральных микросхем, программы ЭВМ и базы данных, секреты производства (ноу-хау), товарные знаки, коммерческие обозначения, входящие в имущественный комплекс предприятия, и т.д.; а так же другие имущественные права, за исключением прав, уступка которых другому лицу запрещена законом (п. 1 ст. 336</w:t>
      </w:r>
      <w:r w:rsidRPr="00A148AE">
        <w:rPr>
          <w:rFonts w:cstheme="minorHAnsi"/>
          <w:sz w:val="24"/>
          <w:szCs w:val="24"/>
          <w:shd w:val="clear" w:color="auto" w:fill="FFFFFF"/>
        </w:rPr>
        <w:br/>
        <w:t>ГК РФ).</w:t>
      </w:r>
    </w:p>
    <w:p w14:paraId="13921ACA" w14:textId="50402E5C" w:rsidR="00A148AE" w:rsidRPr="00A148AE" w:rsidRDefault="00A148AE" w:rsidP="00A148AE">
      <w:pPr>
        <w:autoSpaceDE w:val="0"/>
        <w:autoSpaceDN w:val="0"/>
        <w:adjustRightInd w:val="0"/>
        <w:spacing w:before="120" w:line="276" w:lineRule="auto"/>
        <w:ind w:left="720"/>
        <w:jc w:val="both"/>
        <w:rPr>
          <w:rFonts w:cstheme="minorHAnsi"/>
          <w:sz w:val="24"/>
          <w:szCs w:val="24"/>
          <w:shd w:val="clear" w:color="auto" w:fill="FFFFFF"/>
        </w:rPr>
      </w:pPr>
      <w:r w:rsidRPr="00A148AE">
        <w:rPr>
          <w:rFonts w:cstheme="minorHAnsi"/>
          <w:sz w:val="24"/>
          <w:szCs w:val="24"/>
          <w:shd w:val="clear" w:color="auto" w:fill="FFFFFF"/>
        </w:rPr>
        <w:lastRenderedPageBreak/>
        <w:t xml:space="preserve">11.3.5. </w:t>
      </w:r>
      <w:r w:rsidRPr="00A148AE">
        <w:rPr>
          <w:rFonts w:cstheme="minorHAnsi"/>
          <w:sz w:val="24"/>
          <w:szCs w:val="24"/>
          <w:shd w:val="clear" w:color="auto" w:fill="FFFFFF"/>
        </w:rPr>
        <w:t>Срок действия и охраны права не должен быть менее срока действия основного обязательства. Права на результаты интеллектуальной деятельности и на средства индивидуализации действуют в течение определенного срока. Порядок исчисления сроков и его продление для каждого вида интеллектуальной собственности свой, определен ГК РФ: ст. 1363, ст. 1424, ст. 1457, ст. 1281, ст. 1318, ст. 1327, ст. 1331, ст. 1335 ГК, ст. 1340 ГК, ст. 1491, ст. 1531.</w:t>
      </w:r>
    </w:p>
    <w:p w14:paraId="671A6C0E" w14:textId="6732121B" w:rsidR="00A148AE" w:rsidRPr="00A148AE" w:rsidRDefault="00A148AE" w:rsidP="00A148AE">
      <w:pPr>
        <w:autoSpaceDE w:val="0"/>
        <w:autoSpaceDN w:val="0"/>
        <w:adjustRightInd w:val="0"/>
        <w:spacing w:before="120" w:line="276" w:lineRule="auto"/>
        <w:ind w:left="720"/>
        <w:jc w:val="both"/>
        <w:rPr>
          <w:rFonts w:cstheme="minorHAnsi"/>
          <w:sz w:val="24"/>
          <w:szCs w:val="24"/>
          <w:shd w:val="clear" w:color="auto" w:fill="FFFFFF"/>
        </w:rPr>
      </w:pPr>
      <w:r w:rsidRPr="00A148AE">
        <w:rPr>
          <w:rFonts w:cstheme="minorHAnsi"/>
          <w:sz w:val="24"/>
          <w:szCs w:val="24"/>
          <w:shd w:val="clear" w:color="auto" w:fill="FFFFFF"/>
        </w:rPr>
        <w:t xml:space="preserve">11.3.6. </w:t>
      </w:r>
      <w:r w:rsidRPr="00A148AE">
        <w:rPr>
          <w:rFonts w:cstheme="minorHAnsi"/>
          <w:sz w:val="24"/>
          <w:szCs w:val="24"/>
          <w:shd w:val="clear" w:color="auto" w:fill="FFFFFF"/>
        </w:rPr>
        <w:t>Объект интеллектуальной собственности может выступать, как самостоятельный предмет залога, так и в комплексе имущества. При этом необходимо понимать, что залоговые операции с подобным предметом залога несут в себе потенциальные высокие риски для залогодержателя:</w:t>
      </w:r>
    </w:p>
    <w:p w14:paraId="7BB04985" w14:textId="77777777" w:rsidR="00A148AE" w:rsidRPr="00A148AE" w:rsidRDefault="00A148AE" w:rsidP="00A148AE">
      <w:pPr>
        <w:pStyle w:val="a3"/>
        <w:numPr>
          <w:ilvl w:val="0"/>
          <w:numId w:val="2"/>
        </w:numPr>
        <w:spacing w:line="276" w:lineRule="auto"/>
        <w:ind w:left="1434" w:hanging="357"/>
        <w:jc w:val="both"/>
        <w:rPr>
          <w:rFonts w:asciiTheme="minorHAnsi" w:hAnsiTheme="minorHAnsi" w:cstheme="minorHAnsi"/>
        </w:rPr>
      </w:pPr>
      <w:r w:rsidRPr="00A148AE">
        <w:rPr>
          <w:rFonts w:asciiTheme="minorHAnsi" w:hAnsiTheme="minorHAnsi" w:cstheme="minorHAnsi"/>
        </w:rPr>
        <w:t>затруднительно произвести анализ полученной Оценщиком итоговой величины стоимости на соответствие рыночному уровню цен;</w:t>
      </w:r>
    </w:p>
    <w:p w14:paraId="35017DDC" w14:textId="77777777" w:rsidR="00A148AE" w:rsidRPr="00A148AE" w:rsidRDefault="00A148AE" w:rsidP="00A148AE">
      <w:pPr>
        <w:pStyle w:val="a3"/>
        <w:numPr>
          <w:ilvl w:val="0"/>
          <w:numId w:val="2"/>
        </w:numPr>
        <w:spacing w:line="276" w:lineRule="auto"/>
        <w:ind w:left="1434" w:hanging="357"/>
        <w:jc w:val="both"/>
        <w:rPr>
          <w:rFonts w:asciiTheme="minorHAnsi" w:hAnsiTheme="minorHAnsi" w:cstheme="minorHAnsi"/>
        </w:rPr>
      </w:pPr>
      <w:r w:rsidRPr="00A148AE">
        <w:rPr>
          <w:rFonts w:asciiTheme="minorHAnsi" w:hAnsiTheme="minorHAnsi" w:cstheme="minorHAnsi"/>
        </w:rPr>
        <w:t>сложности с дальнейшей реализацией предмета залога, поскольку рынок объектов интеллектуальной собственности ограничен;</w:t>
      </w:r>
    </w:p>
    <w:p w14:paraId="15463538" w14:textId="77777777" w:rsidR="00A148AE" w:rsidRPr="00A148AE" w:rsidRDefault="00A148AE" w:rsidP="00A148AE">
      <w:pPr>
        <w:pStyle w:val="a3"/>
        <w:numPr>
          <w:ilvl w:val="0"/>
          <w:numId w:val="2"/>
        </w:numPr>
        <w:spacing w:line="276" w:lineRule="auto"/>
        <w:ind w:left="1434" w:hanging="357"/>
        <w:jc w:val="both"/>
        <w:rPr>
          <w:rFonts w:asciiTheme="minorHAnsi" w:hAnsiTheme="minorHAnsi" w:cstheme="minorHAnsi"/>
        </w:rPr>
      </w:pPr>
      <w:r w:rsidRPr="00A148AE">
        <w:rPr>
          <w:rFonts w:asciiTheme="minorHAnsi" w:hAnsiTheme="minorHAnsi" w:cstheme="minorHAnsi"/>
        </w:rPr>
        <w:t>риск обесценения вследствие существенного и/или непредсказуемого изменения рыночной конъюнктуры либо вследствие иных причин;</w:t>
      </w:r>
    </w:p>
    <w:p w14:paraId="41746615" w14:textId="77777777" w:rsidR="00A148AE" w:rsidRPr="00A148AE" w:rsidRDefault="00A148AE" w:rsidP="00A148AE">
      <w:pPr>
        <w:pStyle w:val="a3"/>
        <w:numPr>
          <w:ilvl w:val="0"/>
          <w:numId w:val="2"/>
        </w:numPr>
        <w:spacing w:line="276" w:lineRule="auto"/>
        <w:ind w:left="1434" w:hanging="357"/>
        <w:jc w:val="both"/>
        <w:rPr>
          <w:rFonts w:asciiTheme="minorHAnsi" w:hAnsiTheme="minorHAnsi" w:cstheme="minorHAnsi"/>
          <w:shd w:val="clear" w:color="auto" w:fill="FFFFFF"/>
        </w:rPr>
      </w:pPr>
      <w:r w:rsidRPr="00A148AE">
        <w:rPr>
          <w:rFonts w:asciiTheme="minorHAnsi" w:hAnsiTheme="minorHAnsi" w:cstheme="minorHAnsi"/>
        </w:rPr>
        <w:t>прочие</w:t>
      </w:r>
      <w:r w:rsidRPr="00A148AE">
        <w:rPr>
          <w:rFonts w:asciiTheme="minorHAnsi" w:hAnsiTheme="minorHAnsi" w:cstheme="minorHAnsi"/>
          <w:shd w:val="clear" w:color="auto" w:fill="FFFFFF"/>
        </w:rPr>
        <w:t xml:space="preserve"> риски связанные с незначительным опыта работы с подобным видом залога.</w:t>
      </w:r>
    </w:p>
    <w:p w14:paraId="054579C6" w14:textId="77777777" w:rsidR="00323A99" w:rsidRDefault="00323A99"/>
    <w:sectPr w:rsidR="00323A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017EA"/>
    <w:multiLevelType w:val="multilevel"/>
    <w:tmpl w:val="47223268"/>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4474" w:hanging="504"/>
      </w:pPr>
      <w:rPr>
        <w:b w:val="0"/>
        <w:bCs/>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513554D"/>
    <w:multiLevelType w:val="hybridMultilevel"/>
    <w:tmpl w:val="7902A3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490E748E"/>
    <w:multiLevelType w:val="hybridMultilevel"/>
    <w:tmpl w:val="89B8CD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696007966">
    <w:abstractNumId w:val="0"/>
  </w:num>
  <w:num w:numId="2" w16cid:durableId="1471096961">
    <w:abstractNumId w:val="2"/>
  </w:num>
  <w:num w:numId="3" w16cid:durableId="6498669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8AE"/>
    <w:rsid w:val="00323A99"/>
    <w:rsid w:val="00A14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F3D4C"/>
  <w15:chartTrackingRefBased/>
  <w15:docId w15:val="{0B0367F3-0544-4313-A9DC-8E0549C12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Уровент 2.2,Абзац списка4,Абзац списка ЦНЭС,Начало абзаца,SA Text List,SA PM Red,Список точки,СПИСОК,List Paragraph,Нумерованный,маркировка1,Заголовок ур.2 (1 раздел),Заголовок 3 -третий уровень,8т рис"/>
    <w:basedOn w:val="a"/>
    <w:link w:val="a4"/>
    <w:uiPriority w:val="34"/>
    <w:qFormat/>
    <w:rsid w:val="00A148AE"/>
    <w:pPr>
      <w:spacing w:after="0" w:line="240" w:lineRule="auto"/>
      <w:ind w:left="720"/>
    </w:pPr>
    <w:rPr>
      <w:rFonts w:ascii="Times New Roman" w:hAnsi="Times New Roman" w:cs="Times New Roman"/>
      <w:sz w:val="24"/>
      <w:szCs w:val="24"/>
      <w:lang w:eastAsia="ru-RU"/>
    </w:rPr>
  </w:style>
  <w:style w:type="character" w:customStyle="1" w:styleId="a4">
    <w:name w:val="Абзац списка Знак"/>
    <w:aliases w:val="Уровент 2.2 Знак,Абзац списка4 Знак,Абзац списка ЦНЭС Знак,Начало абзаца Знак,SA Text List Знак,SA PM Red Знак,Список точки Знак,СПИСОК Знак,List Paragraph Знак,Нумерованный Знак,маркировка1 Знак,Заголовок ур.2 (1 раздел) Знак"/>
    <w:basedOn w:val="a0"/>
    <w:link w:val="a3"/>
    <w:uiPriority w:val="34"/>
    <w:locked/>
    <w:rsid w:val="00A148AE"/>
    <w:rPr>
      <w:rFonts w:ascii="Times New Roman" w:hAnsi="Times New Roman" w:cs="Times New Roman"/>
      <w:sz w:val="24"/>
      <w:szCs w:val="24"/>
      <w:lang w:eastAsia="ru-RU"/>
    </w:rPr>
  </w:style>
  <w:style w:type="character" w:customStyle="1" w:styleId="hl">
    <w:name w:val="hl"/>
    <w:basedOn w:val="a0"/>
    <w:rsid w:val="00A14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298678/2a4870fda21fdffc70bade7ef80135143050f0b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545</Words>
  <Characters>3112</Characters>
  <Application>Microsoft Office Word</Application>
  <DocSecurity>0</DocSecurity>
  <Lines>25</Lines>
  <Paragraphs>7</Paragraphs>
  <ScaleCrop>false</ScaleCrop>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Kurbanov</dc:creator>
  <cp:keywords/>
  <dc:description/>
  <cp:lastModifiedBy>Murat Kurbanov</cp:lastModifiedBy>
  <cp:revision>1</cp:revision>
  <dcterms:created xsi:type="dcterms:W3CDTF">2022-08-10T06:35:00Z</dcterms:created>
  <dcterms:modified xsi:type="dcterms:W3CDTF">2022-08-10T06:39:00Z</dcterms:modified>
</cp:coreProperties>
</file>