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14BF" w14:textId="107D0F32" w:rsidR="005A4262" w:rsidRPr="00F936BB" w:rsidRDefault="005A4262" w:rsidP="005A4262">
      <w:pPr>
        <w:spacing w:before="120" w:line="276" w:lineRule="auto"/>
        <w:jc w:val="center"/>
        <w:outlineLvl w:val="1"/>
        <w:rPr>
          <w:rFonts w:cstheme="minorHAnsi"/>
          <w:b/>
          <w:color w:val="000000"/>
          <w:sz w:val="26"/>
          <w:szCs w:val="26"/>
          <w:shd w:val="clear" w:color="auto" w:fill="FFFFFF"/>
        </w:rPr>
      </w:pPr>
      <w:bookmarkStart w:id="0" w:name="_Toc99381745"/>
      <w:r w:rsidRPr="00F936BB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11.2. </w:t>
      </w:r>
      <w:r w:rsidRPr="00F936BB">
        <w:rPr>
          <w:rFonts w:cstheme="minorHAnsi"/>
          <w:b/>
          <w:color w:val="000000"/>
          <w:sz w:val="26"/>
          <w:szCs w:val="26"/>
          <w:shd w:val="clear" w:color="auto" w:fill="FFFFFF"/>
        </w:rPr>
        <w:t>Рекомендуемые источники информации</w:t>
      </w:r>
      <w:bookmarkEnd w:id="0"/>
    </w:p>
    <w:p w14:paraId="0319B8BC" w14:textId="77777777" w:rsidR="005A4262" w:rsidRPr="00192812" w:rsidRDefault="005A4262" w:rsidP="005A4262">
      <w:pPr>
        <w:pStyle w:val="a3"/>
        <w:spacing w:before="120" w:line="276" w:lineRule="auto"/>
        <w:ind w:left="0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b/>
          <w:color w:val="000000"/>
          <w:shd w:val="clear" w:color="auto" w:fill="FFFFFF"/>
        </w:rPr>
        <w:t>11.2.1. Источники информации общего характера</w:t>
      </w:r>
    </w:p>
    <w:p w14:paraId="0CD0B381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120" w:line="276" w:lineRule="auto"/>
        <w:ind w:hanging="513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Федеральная служба по интеллектуальной собственности (Роспатент) – rupto.ru.</w:t>
      </w:r>
    </w:p>
    <w:p w14:paraId="3D831FFA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Министерство экономического развития Российской Федерации – economy.gov.ru.</w:t>
      </w:r>
    </w:p>
    <w:p w14:paraId="6A6E888F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Федеральная служба Государственной статистики – gks.ru.</w:t>
      </w:r>
    </w:p>
    <w:p w14:paraId="2D79C332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Сайт Центрального банка Российской Федерации – cbr.ru.</w:t>
      </w:r>
    </w:p>
    <w:p w14:paraId="3342288F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Система комплексного раскрытия информации СКРИН – skrin.ru.</w:t>
      </w:r>
    </w:p>
    <w:p w14:paraId="0C1AD629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Центр раскрытия корпоративной информации – e-disclosure.ru.</w:t>
      </w:r>
    </w:p>
    <w:p w14:paraId="7C969F0F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Московская Биржа – moex.com, micex.ru.</w:t>
      </w:r>
    </w:p>
    <w:p w14:paraId="3960FD2F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Федеральный институт промышленной собственности – fips.ru.</w:t>
      </w:r>
    </w:p>
    <w:p w14:paraId="58DDBBEE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Группа РТС – rts.ru.</w:t>
      </w:r>
    </w:p>
    <w:p w14:paraId="4D7F7AB8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Группа «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Финам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» – finam.ru.</w:t>
      </w:r>
    </w:p>
    <w:p w14:paraId="2E93B5D8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Информационное агентство 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Economagic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 – economagic.com.</w:t>
      </w:r>
    </w:p>
    <w:p w14:paraId="73B3E081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Всемирная организация интеллектуальной собственности (ВОИС, фр. 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Organisation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Mondiale de la 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Propriété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Intelectuelle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, OMPI; 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англ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. World Intellectual Property Organization, WIPO) – wipo.int.</w:t>
      </w:r>
    </w:p>
    <w:p w14:paraId="56B8A82D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Федеральный институт промышленной собственности – fips.ru.</w:t>
      </w:r>
    </w:p>
    <w:p w14:paraId="0518B52C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Базы данных Роспатента – </w:t>
      </w:r>
      <w:r w:rsidRPr="00192812">
        <w:rPr>
          <w:rFonts w:asciiTheme="minorHAnsi" w:hAnsiTheme="minorHAnsi" w:cstheme="minorHAnsi"/>
        </w:rPr>
        <w:t>https://new.fips.ru/elektronnye-servisy/informatsionno-poiskovaya-sistema/bazy-dannykh.php.</w:t>
      </w:r>
    </w:p>
    <w:p w14:paraId="1FEAFEE6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Ведомство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по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патентам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и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товарным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знакам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США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(The United States Patent and Trademark Office, USPTO) – uspto.gov.</w:t>
      </w:r>
    </w:p>
    <w:p w14:paraId="154193F3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Аналитические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и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статистические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данные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профессора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New York University's Stern School of Business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А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. 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Дамодарана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– Damodaran.com.</w:t>
      </w:r>
    </w:p>
    <w:p w14:paraId="0FD59551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European Central Bank – http://sdw.ecb.europa.eu/home.do.</w:t>
      </w:r>
    </w:p>
    <w:p w14:paraId="0FCDF535" w14:textId="77777777" w:rsidR="005A4262" w:rsidRPr="00192812" w:rsidRDefault="005A4262" w:rsidP="005A4262">
      <w:pPr>
        <w:pStyle w:val="a3"/>
        <w:numPr>
          <w:ilvl w:val="0"/>
          <w:numId w:val="4"/>
        </w:numPr>
        <w:spacing w:before="60" w:line="276" w:lineRule="auto"/>
        <w:ind w:left="1077" w:hanging="51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Duff &amp; Phelps, 2017 Valuation Handbook – U.S. Guide to Cost of Capital.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Электронная версия: 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https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://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www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.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kroll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com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/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en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cost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of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capital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6B44AF3E" w14:textId="77777777" w:rsidR="005A4262" w:rsidRPr="00192812" w:rsidRDefault="005A4262" w:rsidP="005A4262">
      <w:pPr>
        <w:pStyle w:val="a3"/>
        <w:spacing w:before="120" w:line="276" w:lineRule="auto"/>
        <w:ind w:left="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503D82E" w14:textId="77777777" w:rsidR="005A4262" w:rsidRPr="00192812" w:rsidRDefault="005A4262" w:rsidP="005A4262">
      <w:pPr>
        <w:pStyle w:val="a3"/>
        <w:spacing w:before="120" w:line="276" w:lineRule="auto"/>
        <w:ind w:left="0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b/>
          <w:color w:val="000000"/>
          <w:shd w:val="clear" w:color="auto" w:fill="FFFFFF"/>
        </w:rPr>
        <w:t>11.2.2. Источники информации по ставкам роялти</w:t>
      </w:r>
    </w:p>
    <w:p w14:paraId="3F8943E3" w14:textId="77777777" w:rsidR="005A4262" w:rsidRPr="00192812" w:rsidRDefault="005A4262" w:rsidP="005A4262">
      <w:pPr>
        <w:pStyle w:val="a3"/>
        <w:numPr>
          <w:ilvl w:val="0"/>
          <w:numId w:val="2"/>
        </w:numPr>
        <w:spacing w:before="120" w:line="276" w:lineRule="auto"/>
        <w:ind w:left="1134" w:hanging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RoyaltySource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 – royaltysource.com.</w:t>
      </w:r>
    </w:p>
    <w:p w14:paraId="0FFE39E1" w14:textId="77777777" w:rsidR="005A4262" w:rsidRPr="00192812" w:rsidRDefault="005A4262" w:rsidP="005A4262">
      <w:pPr>
        <w:pStyle w:val="a3"/>
        <w:numPr>
          <w:ilvl w:val="0"/>
          <w:numId w:val="2"/>
        </w:numPr>
        <w:spacing w:before="60" w:line="276" w:lineRule="auto"/>
        <w:ind w:left="1134" w:hanging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RoyaltyRange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 – royaltyrange.com.</w:t>
      </w:r>
    </w:p>
    <w:p w14:paraId="26FF1B1F" w14:textId="77777777" w:rsidR="005A4262" w:rsidRPr="00192812" w:rsidRDefault="005A4262" w:rsidP="005A4262">
      <w:pPr>
        <w:pStyle w:val="a3"/>
        <w:numPr>
          <w:ilvl w:val="0"/>
          <w:numId w:val="2"/>
        </w:numPr>
        <w:spacing w:before="60" w:line="276" w:lineRule="auto"/>
        <w:ind w:left="1134" w:hanging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RoyaltyStat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 – royaltystat.com.</w:t>
      </w:r>
    </w:p>
    <w:p w14:paraId="23C03873" w14:textId="77777777" w:rsidR="005A4262" w:rsidRPr="00192812" w:rsidRDefault="005A4262" w:rsidP="005A4262">
      <w:pPr>
        <w:pStyle w:val="a3"/>
        <w:numPr>
          <w:ilvl w:val="0"/>
          <w:numId w:val="2"/>
        </w:numPr>
        <w:spacing w:before="60" w:line="276" w:lineRule="auto"/>
        <w:ind w:left="1134" w:hanging="567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ktMINE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royalty rates database – ktmine.com.</w:t>
      </w:r>
    </w:p>
    <w:p w14:paraId="2042527F" w14:textId="77777777" w:rsidR="005A4262" w:rsidRPr="00192812" w:rsidRDefault="005A4262" w:rsidP="005A4262">
      <w:pPr>
        <w:pStyle w:val="a3"/>
        <w:numPr>
          <w:ilvl w:val="0"/>
          <w:numId w:val="2"/>
        </w:numPr>
        <w:spacing w:before="60" w:line="276" w:lineRule="auto"/>
        <w:ind w:left="1134" w:hanging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Sectilis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 – sectilis.com.</w:t>
      </w:r>
    </w:p>
    <w:p w14:paraId="2B6386E3" w14:textId="77777777" w:rsidR="005A4262" w:rsidRPr="00192812" w:rsidRDefault="005A4262" w:rsidP="005A4262">
      <w:pPr>
        <w:pStyle w:val="a3"/>
        <w:numPr>
          <w:ilvl w:val="0"/>
          <w:numId w:val="2"/>
        </w:numPr>
        <w:spacing w:before="60" w:line="276" w:lineRule="auto"/>
        <w:ind w:left="1134" w:hanging="56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</w:rPr>
        <w:t>HCTadvisor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 (медицина и биотехнологии) – hctadvisor.com.</w:t>
      </w:r>
    </w:p>
    <w:p w14:paraId="243A8783" w14:textId="77777777" w:rsidR="005A4262" w:rsidRPr="00192812" w:rsidRDefault="005A4262" w:rsidP="005A4262">
      <w:pPr>
        <w:pStyle w:val="a3"/>
        <w:numPr>
          <w:ilvl w:val="0"/>
          <w:numId w:val="2"/>
        </w:numPr>
        <w:spacing w:before="60" w:line="276" w:lineRule="auto"/>
        <w:ind w:left="1134" w:hanging="567"/>
        <w:jc w:val="both"/>
        <w:rPr>
          <w:rFonts w:asciiTheme="minorHAnsi" w:hAnsiTheme="minorHAnsi" w:cstheme="minorHAnsi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Gregory</w:t>
      </w:r>
      <w:r w:rsidRPr="00192812">
        <w:rPr>
          <w:rFonts w:asciiTheme="minorHAnsi" w:hAnsiTheme="minorHAnsi" w:cstheme="minorHAnsi"/>
          <w:lang w:val="en-US"/>
        </w:rPr>
        <w:t xml:space="preserve"> J. Battersby, Charles W. Grimes. Licensing Royalty Rates </w:t>
      </w:r>
    </w:p>
    <w:p w14:paraId="746D6648" w14:textId="77777777" w:rsidR="005A4262" w:rsidRPr="00192812" w:rsidRDefault="005A4262" w:rsidP="005A4262">
      <w:pPr>
        <w:pStyle w:val="a3"/>
        <w:spacing w:line="276" w:lineRule="auto"/>
        <w:ind w:left="0" w:firstLine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3F9D31E" w14:textId="77777777" w:rsidR="005A4262" w:rsidRPr="00192812" w:rsidRDefault="005A4262" w:rsidP="005A4262">
      <w:pPr>
        <w:pStyle w:val="a3"/>
        <w:spacing w:before="120" w:line="276" w:lineRule="auto"/>
        <w:ind w:left="0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b/>
          <w:color w:val="000000"/>
          <w:shd w:val="clear" w:color="auto" w:fill="FFFFFF"/>
        </w:rPr>
        <w:t>11.2.3. Источники информации для метода отраслевых стандартов</w:t>
      </w:r>
    </w:p>
    <w:p w14:paraId="4224DC39" w14:textId="77777777" w:rsidR="005A4262" w:rsidRPr="00192812" w:rsidRDefault="005A4262" w:rsidP="005A4262">
      <w:pPr>
        <w:pStyle w:val="a3"/>
        <w:numPr>
          <w:ilvl w:val="0"/>
          <w:numId w:val="3"/>
        </w:numPr>
        <w:spacing w:before="120" w:line="276" w:lineRule="auto"/>
        <w:ind w:hanging="513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BVR/</w:t>
      </w:r>
      <w:proofErr w:type="spellStart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ktMINE</w:t>
      </w:r>
      <w:proofErr w:type="spellEnd"/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Royalty Rate Benchmarking Guide, 2017/2018 Global Edition</w:t>
      </w:r>
    </w:p>
    <w:p w14:paraId="1B2144A3" w14:textId="77777777" w:rsidR="005A4262" w:rsidRPr="00192812" w:rsidRDefault="005A4262" w:rsidP="005A4262">
      <w:pPr>
        <w:pStyle w:val="a3"/>
        <w:spacing w:line="276" w:lineRule="auto"/>
        <w:ind w:left="1077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shd w:val="clear" w:color="auto" w:fill="FFFFFF"/>
          <w:lang w:val="en-US"/>
        </w:rPr>
        <w:t>https://www.bvresources.com/products/bvr-ktmine-royalty-rate-benchmarking-guide-2017-global-edition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14:paraId="6652D118" w14:textId="77777777" w:rsidR="005A4262" w:rsidRPr="00192812" w:rsidRDefault="005A4262" w:rsidP="005A4262">
      <w:pPr>
        <w:pStyle w:val="a3"/>
        <w:numPr>
          <w:ilvl w:val="0"/>
          <w:numId w:val="3"/>
        </w:numPr>
        <w:spacing w:beforeLines="60" w:before="144" w:line="276" w:lineRule="auto"/>
        <w:ind w:hanging="513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Royalty Rates for Technology, 6th Edition</w:t>
      </w:r>
    </w:p>
    <w:p w14:paraId="122C622F" w14:textId="77777777" w:rsidR="005A4262" w:rsidRPr="00192812" w:rsidRDefault="005A4262" w:rsidP="005A4262">
      <w:pPr>
        <w:pStyle w:val="a3"/>
        <w:spacing w:beforeLines="60" w:before="144" w:line="276" w:lineRule="auto"/>
        <w:ind w:left="1077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https</w:t>
      </w:r>
      <w:r w:rsidRPr="00192812">
        <w:rPr>
          <w:rFonts w:asciiTheme="minorHAnsi" w:hAnsiTheme="minorHAnsi" w:cstheme="minorHAnsi"/>
          <w:shd w:val="clear" w:color="auto" w:fill="FFFFFF"/>
          <w:lang w:val="en-US"/>
        </w:rPr>
        <w:t>://www.bvresources.com/products/royalty-rates-for-technology-sixth-edition</w:t>
      </w:r>
    </w:p>
    <w:p w14:paraId="4BBF5E18" w14:textId="77777777" w:rsidR="005A4262" w:rsidRPr="00192812" w:rsidRDefault="005A4262" w:rsidP="005A4262">
      <w:pPr>
        <w:pStyle w:val="a3"/>
        <w:numPr>
          <w:ilvl w:val="0"/>
          <w:numId w:val="3"/>
        </w:numPr>
        <w:spacing w:beforeLines="60" w:before="144" w:line="276" w:lineRule="auto"/>
        <w:ind w:hanging="513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Royalty Rates for Trademarks &amp; Copyrights - Fifth Edition</w:t>
      </w:r>
    </w:p>
    <w:p w14:paraId="0789A154" w14:textId="77777777" w:rsidR="005A4262" w:rsidRPr="00192812" w:rsidRDefault="005A4262" w:rsidP="005A4262">
      <w:pPr>
        <w:pStyle w:val="a3"/>
        <w:spacing w:beforeLines="60" w:before="144" w:line="276" w:lineRule="auto"/>
        <w:ind w:left="1077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https://www.bvresources.com/products/royalty-rates-for-trademarks-copyrights-fifth-edition </w:t>
      </w:r>
    </w:p>
    <w:p w14:paraId="45FEC87D" w14:textId="77777777" w:rsidR="005A4262" w:rsidRPr="00192812" w:rsidRDefault="005A4262" w:rsidP="005A4262">
      <w:pPr>
        <w:pStyle w:val="a3"/>
        <w:numPr>
          <w:ilvl w:val="0"/>
          <w:numId w:val="3"/>
        </w:numPr>
        <w:spacing w:beforeLines="60" w:before="144" w:line="276" w:lineRule="auto"/>
        <w:ind w:hanging="513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Royalty Rates in Biotech: BVR's Guide to Full-Text Licensing Agreements</w:t>
      </w:r>
    </w:p>
    <w:p w14:paraId="5A5E4D5C" w14:textId="77777777" w:rsidR="005A4262" w:rsidRPr="00192812" w:rsidRDefault="005A4262" w:rsidP="005A4262">
      <w:pPr>
        <w:pStyle w:val="a3"/>
        <w:spacing w:beforeLines="60" w:before="144" w:line="276" w:lineRule="auto"/>
        <w:ind w:left="1077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https://www.bvresources.com/products/royalty-rates-in-biotech-guide-to-full-text-licensing-agreements </w:t>
      </w:r>
    </w:p>
    <w:p w14:paraId="6ECA961D" w14:textId="77777777" w:rsidR="005A4262" w:rsidRPr="00192812" w:rsidRDefault="005A4262" w:rsidP="005A4262">
      <w:pPr>
        <w:pStyle w:val="a3"/>
        <w:spacing w:before="120" w:line="276" w:lineRule="auto"/>
        <w:ind w:left="1225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14:paraId="6CEDD29D" w14:textId="77777777" w:rsidR="005A4262" w:rsidRPr="00192812" w:rsidRDefault="005A4262" w:rsidP="005A4262">
      <w:pPr>
        <w:pStyle w:val="a3"/>
        <w:spacing w:before="120" w:line="276" w:lineRule="auto"/>
        <w:ind w:left="0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b/>
          <w:color w:val="000000"/>
          <w:shd w:val="clear" w:color="auto" w:fill="FFFFFF"/>
        </w:rPr>
        <w:t>11.3.4. Источники информации для оценки программ для ЭВМ</w:t>
      </w:r>
    </w:p>
    <w:p w14:paraId="7AB5C971" w14:textId="77777777" w:rsidR="005A4262" w:rsidRPr="00192812" w:rsidRDefault="005A4262" w:rsidP="005A4262">
      <w:pPr>
        <w:pStyle w:val="a3"/>
        <w:spacing w:before="120"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"/>
          <w:szCs w:val="2"/>
          <w:shd w:val="clear" w:color="auto" w:fill="FFFFFF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3"/>
        <w:gridCol w:w="3437"/>
        <w:gridCol w:w="1404"/>
        <w:gridCol w:w="2531"/>
      </w:tblGrid>
      <w:tr w:rsidR="005A4262" w:rsidRPr="00192812" w14:paraId="52352F85" w14:textId="77777777" w:rsidTr="0006241F">
        <w:trPr>
          <w:trHeight w:val="230"/>
        </w:trPr>
        <w:tc>
          <w:tcPr>
            <w:tcW w:w="1056" w:type="pct"/>
            <w:shd w:val="clear" w:color="auto" w:fill="D9D9D9" w:themeFill="background1" w:themeFillShade="D9"/>
            <w:vAlign w:val="center"/>
          </w:tcPr>
          <w:p w14:paraId="2AFDF05C" w14:textId="77777777" w:rsidR="005A4262" w:rsidRPr="00192812" w:rsidRDefault="005A4262" w:rsidP="0006241F">
            <w:pPr>
              <w:pStyle w:val="TableParagraph"/>
              <w:ind w:left="211" w:right="208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92812">
              <w:rPr>
                <w:rFonts w:asciiTheme="minorHAnsi" w:hAnsiTheme="minorHAnsi" w:cstheme="minorHAnsi"/>
                <w:b/>
              </w:rPr>
              <w:t>Название</w:t>
            </w:r>
            <w:proofErr w:type="spellEnd"/>
            <w:r w:rsidRPr="001928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2812">
              <w:rPr>
                <w:rFonts w:asciiTheme="minorHAnsi" w:hAnsiTheme="minorHAnsi" w:cstheme="minorHAnsi"/>
                <w:b/>
              </w:rPr>
              <w:t>ресурса</w:t>
            </w:r>
            <w:proofErr w:type="spellEnd"/>
          </w:p>
        </w:tc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6AFABA15" w14:textId="77777777" w:rsidR="005A4262" w:rsidRPr="00192812" w:rsidRDefault="005A4262" w:rsidP="0006241F">
            <w:pPr>
              <w:pStyle w:val="TableParagraph"/>
              <w:ind w:left="48" w:right="19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92812">
              <w:rPr>
                <w:rFonts w:asciiTheme="minorHAnsi" w:hAnsiTheme="minorHAnsi" w:cstheme="minorHAnsi"/>
                <w:b/>
              </w:rPr>
              <w:t>Функционал</w:t>
            </w:r>
            <w:proofErr w:type="spellEnd"/>
          </w:p>
        </w:tc>
        <w:tc>
          <w:tcPr>
            <w:tcW w:w="751" w:type="pct"/>
            <w:shd w:val="clear" w:color="auto" w:fill="D9D9D9" w:themeFill="background1" w:themeFillShade="D9"/>
            <w:vAlign w:val="center"/>
          </w:tcPr>
          <w:p w14:paraId="2FC1AE77" w14:textId="77777777" w:rsidR="005A4262" w:rsidRPr="00192812" w:rsidRDefault="005A4262" w:rsidP="0006241F">
            <w:pPr>
              <w:pStyle w:val="TableParagraph"/>
              <w:ind w:left="141" w:right="13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92812">
              <w:rPr>
                <w:rFonts w:asciiTheme="minorHAnsi" w:hAnsiTheme="minorHAnsi" w:cstheme="minorHAnsi"/>
                <w:b/>
              </w:rPr>
              <w:t>Режим</w:t>
            </w:r>
            <w:proofErr w:type="spellEnd"/>
            <w:r w:rsidRPr="0019281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92812">
              <w:rPr>
                <w:rFonts w:asciiTheme="minorHAnsi" w:hAnsiTheme="minorHAnsi" w:cstheme="minorHAnsi"/>
                <w:b/>
              </w:rPr>
              <w:t>доступа</w:t>
            </w:r>
            <w:proofErr w:type="spellEnd"/>
          </w:p>
        </w:tc>
        <w:tc>
          <w:tcPr>
            <w:tcW w:w="1354" w:type="pct"/>
            <w:shd w:val="clear" w:color="auto" w:fill="D9D9D9" w:themeFill="background1" w:themeFillShade="D9"/>
            <w:vAlign w:val="center"/>
          </w:tcPr>
          <w:p w14:paraId="344EE85E" w14:textId="77777777" w:rsidR="005A4262" w:rsidRPr="00192812" w:rsidRDefault="005A4262" w:rsidP="0006241F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92812">
              <w:rPr>
                <w:rFonts w:asciiTheme="minorHAnsi" w:hAnsiTheme="minorHAnsi" w:cstheme="minorHAnsi"/>
                <w:b/>
              </w:rPr>
              <w:t>Ссылка</w:t>
            </w:r>
            <w:proofErr w:type="spellEnd"/>
          </w:p>
        </w:tc>
      </w:tr>
      <w:tr w:rsidR="005A4262" w:rsidRPr="00192812" w14:paraId="63910DCC" w14:textId="77777777" w:rsidTr="0006241F">
        <w:trPr>
          <w:trHeight w:val="439"/>
        </w:trPr>
        <w:tc>
          <w:tcPr>
            <w:tcW w:w="1056" w:type="pct"/>
            <w:vAlign w:val="center"/>
          </w:tcPr>
          <w:p w14:paraId="5D6CE532" w14:textId="77777777" w:rsidR="005A4262" w:rsidRPr="00192812" w:rsidRDefault="005A4262" w:rsidP="0006241F">
            <w:pPr>
              <w:pStyle w:val="TableParagraph"/>
              <w:ind w:left="211" w:right="20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PitchBook</w:t>
            </w:r>
            <w:proofErr w:type="spellEnd"/>
          </w:p>
        </w:tc>
        <w:tc>
          <w:tcPr>
            <w:tcW w:w="1839" w:type="pct"/>
            <w:vAlign w:val="center"/>
          </w:tcPr>
          <w:p w14:paraId="35A18DE0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92812">
              <w:rPr>
                <w:rFonts w:asciiTheme="minorHAnsi" w:hAnsiTheme="minorHAnsi" w:cstheme="minorHAnsi"/>
                <w:lang w:val="ru-RU"/>
              </w:rPr>
              <w:t>Информация о компаниях и закрытых</w:t>
            </w:r>
            <w:r w:rsidRPr="00192812">
              <w:rPr>
                <w:rFonts w:asciiTheme="minorHAnsi" w:hAnsiTheme="minorHAnsi" w:cstheme="minorHAnsi"/>
                <w:spacing w:val="-13"/>
                <w:lang w:val="ru-RU"/>
              </w:rPr>
              <w:t xml:space="preserve"> </w:t>
            </w:r>
            <w:r w:rsidRPr="00192812">
              <w:rPr>
                <w:rFonts w:asciiTheme="minorHAnsi" w:hAnsiTheme="minorHAnsi" w:cstheme="minorHAnsi"/>
                <w:lang w:val="ru-RU"/>
              </w:rPr>
              <w:t>сделках</w:t>
            </w:r>
          </w:p>
        </w:tc>
        <w:tc>
          <w:tcPr>
            <w:tcW w:w="751" w:type="pct"/>
            <w:vAlign w:val="center"/>
          </w:tcPr>
          <w:p w14:paraId="11CC94A2" w14:textId="77777777" w:rsidR="005A4262" w:rsidRPr="00192812" w:rsidRDefault="005A4262" w:rsidP="0006241F">
            <w:pPr>
              <w:pStyle w:val="TableParagraph"/>
              <w:ind w:left="136" w:right="1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Платный</w:t>
            </w:r>
            <w:proofErr w:type="spellEnd"/>
          </w:p>
        </w:tc>
        <w:tc>
          <w:tcPr>
            <w:tcW w:w="1354" w:type="pct"/>
            <w:vAlign w:val="center"/>
          </w:tcPr>
          <w:p w14:paraId="706EBE8D" w14:textId="77777777" w:rsidR="005A4262" w:rsidRPr="00192812" w:rsidRDefault="005A4262" w:rsidP="0006241F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pitchbook.com</w:t>
            </w:r>
          </w:p>
        </w:tc>
      </w:tr>
      <w:tr w:rsidR="005A4262" w:rsidRPr="00192812" w14:paraId="6ACAF647" w14:textId="77777777" w:rsidTr="0006241F">
        <w:trPr>
          <w:trHeight w:val="441"/>
        </w:trPr>
        <w:tc>
          <w:tcPr>
            <w:tcW w:w="1056" w:type="pct"/>
            <w:vAlign w:val="center"/>
          </w:tcPr>
          <w:p w14:paraId="4ECB3E93" w14:textId="77777777" w:rsidR="005A4262" w:rsidRPr="00192812" w:rsidRDefault="005A4262" w:rsidP="0006241F">
            <w:pPr>
              <w:pStyle w:val="TableParagraph"/>
              <w:ind w:left="211" w:right="20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CBInsights</w:t>
            </w:r>
            <w:proofErr w:type="spellEnd"/>
          </w:p>
        </w:tc>
        <w:tc>
          <w:tcPr>
            <w:tcW w:w="1839" w:type="pct"/>
            <w:vAlign w:val="center"/>
          </w:tcPr>
          <w:p w14:paraId="662C63B8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92812">
              <w:rPr>
                <w:rFonts w:asciiTheme="minorHAnsi" w:hAnsiTheme="minorHAnsi" w:cstheme="minorHAnsi"/>
                <w:lang w:val="ru-RU"/>
              </w:rPr>
              <w:t>Информация о компаниях и закрытых</w:t>
            </w:r>
            <w:r w:rsidRPr="00192812">
              <w:rPr>
                <w:rFonts w:asciiTheme="minorHAnsi" w:hAnsiTheme="minorHAnsi" w:cstheme="minorHAnsi"/>
                <w:spacing w:val="-10"/>
                <w:lang w:val="ru-RU"/>
              </w:rPr>
              <w:t xml:space="preserve"> </w:t>
            </w:r>
            <w:r w:rsidRPr="00192812">
              <w:rPr>
                <w:rFonts w:asciiTheme="minorHAnsi" w:hAnsiTheme="minorHAnsi" w:cstheme="minorHAnsi"/>
                <w:lang w:val="ru-RU"/>
              </w:rPr>
              <w:t>сделках</w:t>
            </w:r>
          </w:p>
        </w:tc>
        <w:tc>
          <w:tcPr>
            <w:tcW w:w="751" w:type="pct"/>
            <w:vAlign w:val="center"/>
          </w:tcPr>
          <w:p w14:paraId="4FFA6D46" w14:textId="77777777" w:rsidR="005A4262" w:rsidRPr="00192812" w:rsidRDefault="005A4262" w:rsidP="0006241F">
            <w:pPr>
              <w:pStyle w:val="TableParagraph"/>
              <w:ind w:left="136" w:right="1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Платный</w:t>
            </w:r>
            <w:proofErr w:type="spellEnd"/>
          </w:p>
        </w:tc>
        <w:tc>
          <w:tcPr>
            <w:tcW w:w="1354" w:type="pct"/>
            <w:vAlign w:val="center"/>
          </w:tcPr>
          <w:p w14:paraId="553EF1B1" w14:textId="77777777" w:rsidR="005A4262" w:rsidRPr="00192812" w:rsidRDefault="005A4262" w:rsidP="0006241F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</w:rPr>
            </w:pPr>
            <w:hyperlink r:id="rId5">
              <w:r w:rsidRPr="00192812">
                <w:rPr>
                  <w:rFonts w:asciiTheme="minorHAnsi" w:hAnsiTheme="minorHAnsi" w:cstheme="minorHAnsi"/>
                </w:rPr>
                <w:t>cbinsights.com</w:t>
              </w:r>
            </w:hyperlink>
          </w:p>
        </w:tc>
      </w:tr>
      <w:tr w:rsidR="005A4262" w:rsidRPr="00192812" w14:paraId="1493D1EC" w14:textId="77777777" w:rsidTr="0006241F">
        <w:trPr>
          <w:trHeight w:val="220"/>
        </w:trPr>
        <w:tc>
          <w:tcPr>
            <w:tcW w:w="1056" w:type="pct"/>
            <w:vAlign w:val="center"/>
          </w:tcPr>
          <w:p w14:paraId="0756FFFA" w14:textId="77777777" w:rsidR="005A4262" w:rsidRPr="00192812" w:rsidRDefault="005A4262" w:rsidP="0006241F">
            <w:pPr>
              <w:pStyle w:val="TableParagraph"/>
              <w:ind w:left="211" w:right="207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CrunchBase</w:t>
            </w:r>
          </w:p>
        </w:tc>
        <w:tc>
          <w:tcPr>
            <w:tcW w:w="1839" w:type="pct"/>
            <w:vAlign w:val="center"/>
          </w:tcPr>
          <w:p w14:paraId="2FA6C8CD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92812">
              <w:rPr>
                <w:rFonts w:asciiTheme="minorHAnsi" w:hAnsiTheme="minorHAnsi" w:cstheme="minorHAnsi"/>
                <w:lang w:val="ru-RU"/>
              </w:rPr>
              <w:t>Информация о компаниях и закрытых</w:t>
            </w:r>
            <w:r w:rsidRPr="00192812">
              <w:rPr>
                <w:rFonts w:asciiTheme="minorHAnsi" w:hAnsiTheme="minorHAnsi" w:cstheme="minorHAnsi"/>
                <w:spacing w:val="-13"/>
                <w:lang w:val="ru-RU"/>
              </w:rPr>
              <w:t xml:space="preserve"> </w:t>
            </w:r>
            <w:r w:rsidRPr="00192812">
              <w:rPr>
                <w:rFonts w:asciiTheme="minorHAnsi" w:hAnsiTheme="minorHAnsi" w:cstheme="minorHAnsi"/>
                <w:lang w:val="ru-RU"/>
              </w:rPr>
              <w:t>сделках.</w:t>
            </w:r>
          </w:p>
        </w:tc>
        <w:tc>
          <w:tcPr>
            <w:tcW w:w="751" w:type="pct"/>
            <w:vAlign w:val="center"/>
          </w:tcPr>
          <w:p w14:paraId="2C72360B" w14:textId="77777777" w:rsidR="005A4262" w:rsidRPr="00192812" w:rsidRDefault="005A4262" w:rsidP="0006241F">
            <w:pPr>
              <w:pStyle w:val="TableParagraph"/>
              <w:ind w:left="136" w:right="1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Бесплатный</w:t>
            </w:r>
            <w:proofErr w:type="spellEnd"/>
          </w:p>
        </w:tc>
        <w:tc>
          <w:tcPr>
            <w:tcW w:w="1354" w:type="pct"/>
            <w:vAlign w:val="center"/>
          </w:tcPr>
          <w:p w14:paraId="3490081B" w14:textId="77777777" w:rsidR="005A4262" w:rsidRPr="00192812" w:rsidRDefault="005A4262" w:rsidP="0006241F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crunchbase.com</w:t>
            </w:r>
          </w:p>
        </w:tc>
      </w:tr>
      <w:tr w:rsidR="005A4262" w:rsidRPr="00192812" w14:paraId="4C35C656" w14:textId="77777777" w:rsidTr="0006241F">
        <w:trPr>
          <w:trHeight w:val="439"/>
        </w:trPr>
        <w:tc>
          <w:tcPr>
            <w:tcW w:w="1056" w:type="pct"/>
            <w:vAlign w:val="center"/>
          </w:tcPr>
          <w:p w14:paraId="05E9039C" w14:textId="77777777" w:rsidR="005A4262" w:rsidRPr="00192812" w:rsidRDefault="005A4262" w:rsidP="0006241F">
            <w:pPr>
              <w:pStyle w:val="TableParagraph"/>
              <w:ind w:left="210" w:right="208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TechCrunch</w:t>
            </w:r>
          </w:p>
        </w:tc>
        <w:tc>
          <w:tcPr>
            <w:tcW w:w="1839" w:type="pct"/>
            <w:vAlign w:val="center"/>
          </w:tcPr>
          <w:p w14:paraId="573C25FA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92812">
              <w:rPr>
                <w:rFonts w:asciiTheme="minorHAnsi" w:hAnsiTheme="minorHAnsi" w:cstheme="minorHAnsi"/>
                <w:lang w:val="ru-RU"/>
              </w:rPr>
              <w:t>Новости о технологиях и</w:t>
            </w:r>
            <w:r w:rsidRPr="00192812">
              <w:rPr>
                <w:rFonts w:asciiTheme="minorHAnsi" w:hAnsiTheme="minorHAnsi" w:cstheme="minorHAnsi"/>
                <w:spacing w:val="-8"/>
                <w:lang w:val="ru-RU"/>
              </w:rPr>
              <w:t xml:space="preserve"> </w:t>
            </w:r>
            <w:r w:rsidRPr="00192812">
              <w:rPr>
                <w:rFonts w:asciiTheme="minorHAnsi" w:hAnsiTheme="minorHAnsi" w:cstheme="minorHAnsi"/>
                <w:lang w:val="ru-RU"/>
              </w:rPr>
              <w:t>сделках.</w:t>
            </w:r>
          </w:p>
          <w:p w14:paraId="3989CB67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 w:right="40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Отчеты</w:t>
            </w:r>
            <w:proofErr w:type="spellEnd"/>
            <w:r w:rsidRPr="00192812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192812">
              <w:rPr>
                <w:rFonts w:asciiTheme="minorHAnsi" w:hAnsiTheme="minorHAnsi" w:cstheme="minorHAnsi"/>
              </w:rPr>
              <w:t>рынке</w:t>
            </w:r>
            <w:proofErr w:type="spellEnd"/>
          </w:p>
        </w:tc>
        <w:tc>
          <w:tcPr>
            <w:tcW w:w="751" w:type="pct"/>
            <w:vAlign w:val="center"/>
          </w:tcPr>
          <w:p w14:paraId="764CF140" w14:textId="77777777" w:rsidR="005A4262" w:rsidRPr="00192812" w:rsidRDefault="005A4262" w:rsidP="0006241F">
            <w:pPr>
              <w:pStyle w:val="TableParagraph"/>
              <w:ind w:left="136" w:right="1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Бесплатный</w:t>
            </w:r>
            <w:proofErr w:type="spellEnd"/>
          </w:p>
        </w:tc>
        <w:tc>
          <w:tcPr>
            <w:tcW w:w="1354" w:type="pct"/>
            <w:vAlign w:val="center"/>
          </w:tcPr>
          <w:p w14:paraId="00D0255B" w14:textId="77777777" w:rsidR="005A4262" w:rsidRPr="00192812" w:rsidRDefault="005A4262" w:rsidP="0006241F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techcrunch.com</w:t>
            </w:r>
          </w:p>
        </w:tc>
      </w:tr>
      <w:tr w:rsidR="005A4262" w:rsidRPr="00192812" w14:paraId="44040B5B" w14:textId="77777777" w:rsidTr="0006241F">
        <w:trPr>
          <w:trHeight w:val="424"/>
        </w:trPr>
        <w:tc>
          <w:tcPr>
            <w:tcW w:w="1056" w:type="pct"/>
            <w:vAlign w:val="center"/>
          </w:tcPr>
          <w:p w14:paraId="4606A683" w14:textId="77777777" w:rsidR="005A4262" w:rsidRPr="00192812" w:rsidRDefault="005A4262" w:rsidP="0006241F">
            <w:pPr>
              <w:pStyle w:val="TableParagraph"/>
              <w:ind w:left="211" w:right="203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TAdviser</w:t>
            </w:r>
            <w:proofErr w:type="spellEnd"/>
          </w:p>
        </w:tc>
        <w:tc>
          <w:tcPr>
            <w:tcW w:w="1839" w:type="pct"/>
            <w:vAlign w:val="center"/>
          </w:tcPr>
          <w:p w14:paraId="082EC9A8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 w:right="2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Аналитика</w:t>
            </w:r>
            <w:proofErr w:type="spellEnd"/>
            <w:r w:rsidRPr="00192812">
              <w:rPr>
                <w:rFonts w:asciiTheme="minorHAnsi" w:hAnsiTheme="minorHAnsi" w:cstheme="minorHAnsi"/>
              </w:rPr>
              <w:t xml:space="preserve"> IT-</w:t>
            </w:r>
            <w:proofErr w:type="spellStart"/>
            <w:r w:rsidRPr="00192812">
              <w:rPr>
                <w:rFonts w:asciiTheme="minorHAnsi" w:hAnsiTheme="minorHAnsi" w:cstheme="minorHAnsi"/>
              </w:rPr>
              <w:t>отрасли</w:t>
            </w:r>
            <w:proofErr w:type="spellEnd"/>
          </w:p>
        </w:tc>
        <w:tc>
          <w:tcPr>
            <w:tcW w:w="751" w:type="pct"/>
            <w:vAlign w:val="center"/>
          </w:tcPr>
          <w:p w14:paraId="05FAF240" w14:textId="77777777" w:rsidR="005A4262" w:rsidRPr="00192812" w:rsidRDefault="005A4262" w:rsidP="0006241F">
            <w:pPr>
              <w:pStyle w:val="TableParagraph"/>
              <w:ind w:left="136" w:right="1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Бесплатный</w:t>
            </w:r>
            <w:proofErr w:type="spellEnd"/>
          </w:p>
        </w:tc>
        <w:tc>
          <w:tcPr>
            <w:tcW w:w="1354" w:type="pct"/>
            <w:vAlign w:val="center"/>
          </w:tcPr>
          <w:p w14:paraId="072C27EB" w14:textId="77777777" w:rsidR="005A4262" w:rsidRPr="00192812" w:rsidRDefault="005A4262" w:rsidP="0006241F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tadviser.ru</w:t>
            </w:r>
          </w:p>
        </w:tc>
      </w:tr>
      <w:tr w:rsidR="005A4262" w:rsidRPr="00192812" w14:paraId="2FC0F400" w14:textId="77777777" w:rsidTr="0006241F">
        <w:trPr>
          <w:trHeight w:val="424"/>
        </w:trPr>
        <w:tc>
          <w:tcPr>
            <w:tcW w:w="1056" w:type="pct"/>
            <w:vAlign w:val="center"/>
          </w:tcPr>
          <w:p w14:paraId="6A34899B" w14:textId="77777777" w:rsidR="005A4262" w:rsidRPr="00192812" w:rsidRDefault="005A4262" w:rsidP="0006241F">
            <w:pPr>
              <w:pStyle w:val="TableParagraph"/>
              <w:ind w:left="211" w:right="203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РУССОФТ</w:t>
            </w:r>
          </w:p>
        </w:tc>
        <w:tc>
          <w:tcPr>
            <w:tcW w:w="1839" w:type="pct"/>
            <w:vAlign w:val="center"/>
          </w:tcPr>
          <w:p w14:paraId="7C90008E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 w:right="2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Аналитика</w:t>
            </w:r>
            <w:proofErr w:type="spellEnd"/>
            <w:r w:rsidRPr="00192812">
              <w:rPr>
                <w:rFonts w:asciiTheme="minorHAnsi" w:hAnsiTheme="minorHAnsi" w:cstheme="minorHAnsi"/>
              </w:rPr>
              <w:t xml:space="preserve"> IT-</w:t>
            </w:r>
            <w:proofErr w:type="spellStart"/>
            <w:r w:rsidRPr="00192812">
              <w:rPr>
                <w:rFonts w:asciiTheme="minorHAnsi" w:hAnsiTheme="minorHAnsi" w:cstheme="minorHAnsi"/>
              </w:rPr>
              <w:t>отрасли</w:t>
            </w:r>
            <w:proofErr w:type="spellEnd"/>
          </w:p>
        </w:tc>
        <w:tc>
          <w:tcPr>
            <w:tcW w:w="751" w:type="pct"/>
            <w:vAlign w:val="center"/>
          </w:tcPr>
          <w:p w14:paraId="3B725474" w14:textId="77777777" w:rsidR="005A4262" w:rsidRPr="00192812" w:rsidRDefault="005A4262" w:rsidP="0006241F">
            <w:pPr>
              <w:pStyle w:val="TableParagraph"/>
              <w:ind w:left="136" w:right="1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Бесплатный</w:t>
            </w:r>
            <w:proofErr w:type="spellEnd"/>
          </w:p>
        </w:tc>
        <w:tc>
          <w:tcPr>
            <w:tcW w:w="1354" w:type="pct"/>
            <w:vAlign w:val="center"/>
          </w:tcPr>
          <w:p w14:paraId="2C1EAC33" w14:textId="77777777" w:rsidR="005A4262" w:rsidRPr="00192812" w:rsidRDefault="005A4262" w:rsidP="000624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</w:rPr>
              <w:t>russoft.org</w:t>
            </w:r>
          </w:p>
        </w:tc>
      </w:tr>
      <w:tr w:rsidR="005A4262" w:rsidRPr="00192812" w14:paraId="4AD08EFB" w14:textId="77777777" w:rsidTr="0006241F">
        <w:trPr>
          <w:trHeight w:val="424"/>
        </w:trPr>
        <w:tc>
          <w:tcPr>
            <w:tcW w:w="1056" w:type="pct"/>
            <w:vAlign w:val="center"/>
          </w:tcPr>
          <w:p w14:paraId="185D64D1" w14:textId="77777777" w:rsidR="005A4262" w:rsidRPr="00192812" w:rsidRDefault="005A4262" w:rsidP="0006241F">
            <w:pPr>
              <w:pStyle w:val="TableParagraph"/>
              <w:ind w:left="211" w:right="203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  <w:color w:val="000000" w:themeColor="text1"/>
              </w:rPr>
              <w:t>RB.RU</w:t>
            </w:r>
          </w:p>
        </w:tc>
        <w:tc>
          <w:tcPr>
            <w:tcW w:w="1839" w:type="pct"/>
            <w:vAlign w:val="center"/>
          </w:tcPr>
          <w:p w14:paraId="51F15DF9" w14:textId="77777777" w:rsidR="005A4262" w:rsidRPr="00192812" w:rsidRDefault="005A4262" w:rsidP="0006241F">
            <w:pPr>
              <w:pStyle w:val="TableParagraph"/>
              <w:tabs>
                <w:tab w:val="left" w:pos="452"/>
                <w:tab w:val="left" w:pos="453"/>
              </w:tabs>
              <w:ind w:left="93" w:right="28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  <w:color w:val="000000" w:themeColor="text1"/>
                <w:lang w:val="ru-RU"/>
              </w:rPr>
              <w:t>Сделки в IT-отрасли</w:t>
            </w:r>
          </w:p>
        </w:tc>
        <w:tc>
          <w:tcPr>
            <w:tcW w:w="751" w:type="pct"/>
            <w:vAlign w:val="center"/>
          </w:tcPr>
          <w:p w14:paraId="33AEEE34" w14:textId="77777777" w:rsidR="005A4262" w:rsidRPr="00192812" w:rsidRDefault="005A4262" w:rsidP="0006241F">
            <w:pPr>
              <w:pStyle w:val="TableParagraph"/>
              <w:ind w:left="136" w:right="13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92812">
              <w:rPr>
                <w:rFonts w:asciiTheme="minorHAnsi" w:hAnsiTheme="minorHAnsi" w:cstheme="minorHAnsi"/>
              </w:rPr>
              <w:t>Бесплатный</w:t>
            </w:r>
            <w:proofErr w:type="spellEnd"/>
          </w:p>
        </w:tc>
        <w:tc>
          <w:tcPr>
            <w:tcW w:w="1354" w:type="pct"/>
            <w:vAlign w:val="center"/>
          </w:tcPr>
          <w:p w14:paraId="58F50513" w14:textId="77777777" w:rsidR="005A4262" w:rsidRPr="00192812" w:rsidRDefault="005A4262" w:rsidP="000624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2812">
              <w:rPr>
                <w:rFonts w:asciiTheme="minorHAnsi" w:hAnsiTheme="minorHAnsi" w:cstheme="minorHAnsi"/>
                <w:color w:val="000000" w:themeColor="text1"/>
                <w:szCs w:val="28"/>
              </w:rPr>
              <w:t>rb.ru/deals/</w:t>
            </w:r>
          </w:p>
        </w:tc>
      </w:tr>
    </w:tbl>
    <w:p w14:paraId="3E0A0E4C" w14:textId="77777777" w:rsidR="005A4262" w:rsidRPr="00192812" w:rsidRDefault="005A4262" w:rsidP="005A4262">
      <w:pPr>
        <w:spacing w:line="276" w:lineRule="auto"/>
        <w:ind w:firstLine="708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2D34EA8" w14:textId="77777777" w:rsidR="005A4262" w:rsidRPr="00192812" w:rsidRDefault="005A4262" w:rsidP="005A4262">
      <w:pPr>
        <w:pStyle w:val="a3"/>
        <w:spacing w:before="120" w:line="276" w:lineRule="auto"/>
        <w:ind w:left="0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b/>
          <w:color w:val="000000"/>
          <w:shd w:val="clear" w:color="auto" w:fill="FFFFFF"/>
        </w:rPr>
        <w:t>11.2.5. Методическая литература</w:t>
      </w:r>
    </w:p>
    <w:p w14:paraId="1F7D3CBA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120" w:line="276" w:lineRule="auto"/>
        <w:ind w:hanging="513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</w:rPr>
        <w:t>Практическое руководство по проведению оценки активов в рамках проектов, реализуемых с участием ОАО «РОСНАНО», 2010.</w:t>
      </w:r>
    </w:p>
    <w:p w14:paraId="228F802B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left="1077" w:hanging="513"/>
        <w:jc w:val="both"/>
        <w:rPr>
          <w:rFonts w:asciiTheme="minorHAnsi" w:hAnsiTheme="minorHAnsi" w:cstheme="minorHAnsi"/>
        </w:rPr>
      </w:pPr>
      <w:r w:rsidRPr="00192812">
        <w:rPr>
          <w:rFonts w:asciiTheme="minorHAnsi" w:hAnsiTheme="minorHAnsi" w:cstheme="minorHAnsi"/>
        </w:rPr>
        <w:t>Методика проведения оценки соответствия технологий производства продукции (работ, услуг) гражданского назначения мировому уровню развития науки и техники» с приложением порядка и экспертного заключения о проведении публичного технологического аудита инвестиционных</w:t>
      </w:r>
      <w:r w:rsidRPr="00192812">
        <w:rPr>
          <w:rFonts w:asciiTheme="minorHAnsi" w:hAnsiTheme="minorHAnsi" w:cstheme="minorHAnsi"/>
        </w:rPr>
        <w:br/>
        <w:t xml:space="preserve">проектов. ОАО «РВК».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Электронная версия: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192812">
        <w:rPr>
          <w:rFonts w:asciiTheme="minorHAnsi" w:hAnsiTheme="minorHAnsi" w:cstheme="minorHAnsi"/>
        </w:rPr>
        <w:t>https://www.researchgate.net/publication/340314239_Metodika_provedenia_ocen</w:t>
      </w:r>
      <w:r w:rsidRPr="00192812">
        <w:rPr>
          <w:rFonts w:asciiTheme="minorHAnsi" w:hAnsiTheme="minorHAnsi" w:cstheme="minorHAnsi"/>
        </w:rPr>
        <w:lastRenderedPageBreak/>
        <w:t>ki_sootvetstvia_tehnologij_proizvodstva_produkcii_rabot_uslug_grazdanskogo_naznacenia_mirovomu_urovnu_razvitia_nauki_i_tehniki_GG_Azgaldov_SE_Kireev_AV_Kostin_AT_Kynin_NV_Levoc</w:t>
      </w:r>
    </w:p>
    <w:p w14:paraId="7634A7DE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</w:rPr>
      </w:pPr>
      <w:r w:rsidRPr="00192812">
        <w:rPr>
          <w:rFonts w:asciiTheme="minorHAnsi" w:hAnsiTheme="minorHAnsi" w:cstheme="minorHAnsi"/>
        </w:rPr>
        <w:t xml:space="preserve">Методические рекомендации по проведению работы «Выявление и отбор перспективных изобретений». Приложение № 1 к приказу директора ФИПС от 30.09.2015 № 196/45. 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>Электронная версия:</w:t>
      </w:r>
    </w:p>
    <w:p w14:paraId="5D18DCF8" w14:textId="77777777" w:rsidR="005A4262" w:rsidRPr="00192812" w:rsidRDefault="005A4262" w:rsidP="005A4262">
      <w:pPr>
        <w:pStyle w:val="a3"/>
        <w:spacing w:before="60" w:line="276" w:lineRule="auto"/>
        <w:ind w:left="1077"/>
        <w:rPr>
          <w:rFonts w:asciiTheme="minorHAnsi" w:hAnsiTheme="minorHAnsi" w:cstheme="minorHAnsi"/>
        </w:rPr>
      </w:pPr>
      <w:r w:rsidRPr="00192812">
        <w:rPr>
          <w:rFonts w:asciiTheme="minorHAnsi" w:hAnsiTheme="minorHAnsi" w:cstheme="minorHAnsi"/>
        </w:rPr>
        <w:t>https://rupto.ru/content/uploadfiles/docs/recomend_perspektiv_izobr.pdf.</w:t>
      </w:r>
    </w:p>
    <w:p w14:paraId="1DE1F089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192812">
        <w:rPr>
          <w:rFonts w:asciiTheme="minorHAnsi" w:hAnsiTheme="minorHAnsi" w:cstheme="minorHAnsi"/>
          <w:lang w:val="en-US"/>
        </w:rPr>
        <w:t>International</w:t>
      </w: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Valuation Standards (IVS), IVS 210 Intangible Assets.</w:t>
      </w:r>
    </w:p>
    <w:p w14:paraId="7FD57475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  <w:lang w:val="en-US"/>
        </w:rPr>
      </w:pPr>
      <w:r w:rsidRPr="00192812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RICS </w:t>
      </w:r>
      <w:r w:rsidRPr="00192812">
        <w:rPr>
          <w:rFonts w:asciiTheme="minorHAnsi" w:hAnsiTheme="minorHAnsi" w:cstheme="minorHAnsi"/>
          <w:lang w:val="en-US"/>
        </w:rPr>
        <w:t>Valuation – Global Standards 2017, VPGA 6 Valuation of intangible assets.</w:t>
      </w:r>
    </w:p>
    <w:p w14:paraId="3AE1B1A7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  <w:lang w:val="en-US"/>
        </w:rPr>
      </w:pPr>
      <w:r w:rsidRPr="00192812">
        <w:rPr>
          <w:rFonts w:asciiTheme="minorHAnsi" w:hAnsiTheme="minorHAnsi" w:cstheme="minorHAnsi"/>
          <w:lang w:val="en-US"/>
        </w:rPr>
        <w:t>International Private Equity and Venture Capital Valuation Guidelines, 2018.</w:t>
      </w:r>
    </w:p>
    <w:p w14:paraId="7F6924F6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  <w:lang w:val="en-US"/>
        </w:rPr>
      </w:pPr>
      <w:r w:rsidRPr="00192812">
        <w:rPr>
          <w:rFonts w:asciiTheme="minorHAnsi" w:hAnsiTheme="minorHAnsi" w:cstheme="minorHAnsi"/>
          <w:lang w:val="en-US"/>
        </w:rPr>
        <w:t>ASA Business Valuation Standards, BVS-IX Intangible Asset Valuation, 2008.</w:t>
      </w:r>
    </w:p>
    <w:p w14:paraId="7FBBF4A3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</w:rPr>
      </w:pPr>
      <w:r w:rsidRPr="00192812">
        <w:rPr>
          <w:rFonts w:asciiTheme="minorHAnsi" w:hAnsiTheme="minorHAnsi" w:cstheme="minorHAnsi"/>
        </w:rPr>
        <w:t>А.В. Каминский, М.О. Ильин, В.И. Лебединский и др. Экспертиза отчетов об оценке: Учебник — М., 2021. — 418 с. (</w:t>
      </w:r>
      <w:r w:rsidRPr="00192812">
        <w:rPr>
          <w:rFonts w:asciiTheme="minorHAnsi" w:hAnsiTheme="minorHAnsi" w:cstheme="minorHAnsi"/>
          <w:lang w:val="en-US"/>
        </w:rPr>
        <w:t>ISBN</w:t>
      </w:r>
      <w:r w:rsidRPr="00192812">
        <w:rPr>
          <w:rFonts w:asciiTheme="minorHAnsi" w:hAnsiTheme="minorHAnsi" w:cstheme="minorHAnsi"/>
        </w:rPr>
        <w:t xml:space="preserve"> 978-5-6045706-0-9).</w:t>
      </w:r>
    </w:p>
    <w:p w14:paraId="68A51A68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</w:rPr>
      </w:pPr>
      <w:proofErr w:type="spellStart"/>
      <w:r w:rsidRPr="00192812">
        <w:rPr>
          <w:rFonts w:asciiTheme="minorHAnsi" w:hAnsiTheme="minorHAnsi" w:cstheme="minorHAnsi"/>
        </w:rPr>
        <w:t>Азгальдов</w:t>
      </w:r>
      <w:proofErr w:type="spellEnd"/>
      <w:r w:rsidRPr="00192812">
        <w:rPr>
          <w:rFonts w:asciiTheme="minorHAnsi" w:hAnsiTheme="minorHAnsi" w:cstheme="minorHAnsi"/>
        </w:rPr>
        <w:t xml:space="preserve">, Г.Г., Карпова, Н.Н. Оценка стоимости интеллектуальной собственности и нематериальных активов / Г.Г. </w:t>
      </w:r>
      <w:proofErr w:type="spellStart"/>
      <w:r w:rsidRPr="00192812">
        <w:rPr>
          <w:rFonts w:asciiTheme="minorHAnsi" w:hAnsiTheme="minorHAnsi" w:cstheme="minorHAnsi"/>
        </w:rPr>
        <w:t>Азгальдов</w:t>
      </w:r>
      <w:proofErr w:type="spellEnd"/>
      <w:r w:rsidRPr="00192812">
        <w:rPr>
          <w:rFonts w:asciiTheme="minorHAnsi" w:hAnsiTheme="minorHAnsi" w:cstheme="minorHAnsi"/>
        </w:rPr>
        <w:t>, Н.Н. Карпова. - М.: Международная академия оценки и консалтинга, 2006 .- 400 с.</w:t>
      </w:r>
    </w:p>
    <w:p w14:paraId="20F2F81A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</w:rPr>
      </w:pPr>
      <w:proofErr w:type="spellStart"/>
      <w:r w:rsidRPr="00192812">
        <w:rPr>
          <w:rFonts w:asciiTheme="minorHAnsi" w:hAnsiTheme="minorHAnsi" w:cstheme="minorHAnsi"/>
        </w:rPr>
        <w:t>Хитчнер</w:t>
      </w:r>
      <w:proofErr w:type="spellEnd"/>
      <w:r w:rsidRPr="00192812">
        <w:rPr>
          <w:rFonts w:asciiTheme="minorHAnsi" w:hAnsiTheme="minorHAnsi" w:cstheme="minorHAnsi"/>
        </w:rPr>
        <w:t xml:space="preserve">, </w:t>
      </w:r>
      <w:proofErr w:type="spellStart"/>
      <w:r w:rsidRPr="00192812">
        <w:rPr>
          <w:rFonts w:asciiTheme="minorHAnsi" w:hAnsiTheme="minorHAnsi" w:cstheme="minorHAnsi"/>
        </w:rPr>
        <w:t>Дж.Р</w:t>
      </w:r>
      <w:proofErr w:type="spellEnd"/>
      <w:r w:rsidRPr="00192812">
        <w:rPr>
          <w:rFonts w:asciiTheme="minorHAnsi" w:hAnsiTheme="minorHAnsi" w:cstheme="minorHAnsi"/>
        </w:rPr>
        <w:t xml:space="preserve">. Оценка стоимости нематериальных активов / Джеймс Р. </w:t>
      </w:r>
      <w:proofErr w:type="spellStart"/>
      <w:r w:rsidRPr="00192812">
        <w:rPr>
          <w:rFonts w:asciiTheme="minorHAnsi" w:hAnsiTheme="minorHAnsi" w:cstheme="minorHAnsi"/>
        </w:rPr>
        <w:t>Хитчнер</w:t>
      </w:r>
      <w:proofErr w:type="spellEnd"/>
      <w:r w:rsidRPr="00192812">
        <w:rPr>
          <w:rFonts w:asciiTheme="minorHAnsi" w:hAnsiTheme="minorHAnsi" w:cstheme="minorHAnsi"/>
        </w:rPr>
        <w:t>. - М.: Маросейка, 2008 .- 144 с.</w:t>
      </w:r>
    </w:p>
    <w:p w14:paraId="2424BBA3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</w:rPr>
      </w:pPr>
      <w:r w:rsidRPr="00192812">
        <w:rPr>
          <w:rFonts w:asciiTheme="minorHAnsi" w:hAnsiTheme="minorHAnsi" w:cstheme="minorHAnsi"/>
        </w:rPr>
        <w:t xml:space="preserve">Леонтьев, Б.Б., </w:t>
      </w:r>
      <w:proofErr w:type="spellStart"/>
      <w:r w:rsidRPr="00192812">
        <w:rPr>
          <w:rFonts w:asciiTheme="minorHAnsi" w:hAnsiTheme="minorHAnsi" w:cstheme="minorHAnsi"/>
        </w:rPr>
        <w:t>Мамаджанов</w:t>
      </w:r>
      <w:proofErr w:type="spellEnd"/>
      <w:r w:rsidRPr="00192812">
        <w:rPr>
          <w:rFonts w:asciiTheme="minorHAnsi" w:hAnsiTheme="minorHAnsi" w:cstheme="minorHAnsi"/>
        </w:rPr>
        <w:t xml:space="preserve">, Х.А. Оценка нематериальных активов высокотехнологичных предприятий /  Б.Б. Леонтьев, Х.А. </w:t>
      </w:r>
      <w:proofErr w:type="spellStart"/>
      <w:r w:rsidRPr="00192812">
        <w:rPr>
          <w:rFonts w:asciiTheme="minorHAnsi" w:hAnsiTheme="minorHAnsi" w:cstheme="minorHAnsi"/>
        </w:rPr>
        <w:t>Мамаджанов</w:t>
      </w:r>
      <w:proofErr w:type="spellEnd"/>
      <w:r w:rsidRPr="00192812">
        <w:rPr>
          <w:rFonts w:asciiTheme="minorHAnsi" w:hAnsiTheme="minorHAnsi" w:cstheme="minorHAnsi"/>
        </w:rPr>
        <w:t>. - М.: ИНИЦ "ПАТЕНТ", 2012 .- 307 с.</w:t>
      </w:r>
    </w:p>
    <w:p w14:paraId="303F2CEA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</w:rPr>
      </w:pPr>
      <w:r w:rsidRPr="00192812">
        <w:rPr>
          <w:rFonts w:asciiTheme="minorHAnsi" w:hAnsiTheme="minorHAnsi" w:cstheme="minorHAnsi"/>
        </w:rPr>
        <w:t>Яскевич, Е.Е. Практика оценки объектов, связанных с нематериальными факторами воздействия / Е.Е Яскевич. – М.: Техносфера, 2012 . – 600 с.</w:t>
      </w:r>
    </w:p>
    <w:p w14:paraId="02AAD88A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</w:rPr>
      </w:pPr>
      <w:r w:rsidRPr="00192812">
        <w:rPr>
          <w:rFonts w:asciiTheme="minorHAnsi" w:hAnsiTheme="minorHAnsi" w:cstheme="minorHAnsi"/>
        </w:rPr>
        <w:t>Козырев, А.Н. Оценка интеллектуальной собственности: функциональный подход и математические методы / - М.: ЦЭМИ РАН, 2016 . – 234 с. (электронное издание).</w:t>
      </w:r>
    </w:p>
    <w:p w14:paraId="6F41DD34" w14:textId="77777777" w:rsidR="005A4262" w:rsidRPr="00192812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  <w:rPr>
          <w:rFonts w:asciiTheme="minorHAnsi" w:hAnsiTheme="minorHAnsi" w:cstheme="minorHAnsi"/>
          <w:shd w:val="clear" w:color="auto" w:fill="FFFFFF"/>
        </w:rPr>
      </w:pPr>
      <w:r w:rsidRPr="00192812">
        <w:rPr>
          <w:rFonts w:asciiTheme="minorHAnsi" w:hAnsiTheme="minorHAnsi" w:cstheme="minorHAnsi"/>
        </w:rPr>
        <w:t>Методика оценки стоимости выполнения работ по разработке программ для электронных вычислительных машин при создании информационных систем. Утверждена Постановлением Правительства Самарской области от 20.08.2015 №520. Электронная версия: http://dit.samregion.ru/sites/default/</w:t>
      </w:r>
      <w:r w:rsidRPr="00192812">
        <w:rPr>
          <w:rFonts w:asciiTheme="minorHAnsi" w:hAnsiTheme="minorHAnsi" w:cstheme="minorHAnsi"/>
          <w:shd w:val="clear" w:color="auto" w:fill="FFFFFF"/>
          <w:lang w:val="en-US"/>
        </w:rPr>
        <w:t>files</w:t>
      </w:r>
      <w:r w:rsidRPr="00192812">
        <w:rPr>
          <w:rFonts w:asciiTheme="minorHAnsi" w:hAnsiTheme="minorHAnsi" w:cstheme="minorHAnsi"/>
          <w:shd w:val="clear" w:color="auto" w:fill="FFFFFF"/>
        </w:rPr>
        <w:t>/</w:t>
      </w:r>
      <w:r w:rsidRPr="00192812">
        <w:rPr>
          <w:rFonts w:asciiTheme="minorHAnsi" w:hAnsiTheme="minorHAnsi" w:cstheme="minorHAnsi"/>
          <w:shd w:val="clear" w:color="auto" w:fill="FFFFFF"/>
          <w:lang w:val="en-US"/>
        </w:rPr>
        <w:t>docs</w:t>
      </w:r>
      <w:r w:rsidRPr="00192812">
        <w:rPr>
          <w:rFonts w:asciiTheme="minorHAnsi" w:hAnsiTheme="minorHAnsi" w:cstheme="minorHAnsi"/>
          <w:shd w:val="clear" w:color="auto" w:fill="FFFFFF"/>
        </w:rPr>
        <w:t>//</w:t>
      </w:r>
      <w:r w:rsidRPr="00192812">
        <w:rPr>
          <w:rFonts w:asciiTheme="minorHAnsi" w:hAnsiTheme="minorHAnsi" w:cstheme="minorHAnsi"/>
          <w:shd w:val="clear" w:color="auto" w:fill="FFFFFF"/>
          <w:lang w:val="en-US"/>
        </w:rPr>
        <w:t>PPSO</w:t>
      </w:r>
      <w:r w:rsidRPr="00192812">
        <w:rPr>
          <w:rFonts w:asciiTheme="minorHAnsi" w:hAnsiTheme="minorHAnsi" w:cstheme="minorHAnsi"/>
          <w:shd w:val="clear" w:color="auto" w:fill="FFFFFF"/>
        </w:rPr>
        <w:t>_</w:t>
      </w:r>
      <w:proofErr w:type="spellStart"/>
      <w:r w:rsidRPr="00192812">
        <w:rPr>
          <w:rFonts w:asciiTheme="minorHAnsi" w:hAnsiTheme="minorHAnsi" w:cstheme="minorHAnsi"/>
          <w:shd w:val="clear" w:color="auto" w:fill="FFFFFF"/>
          <w:lang w:val="en-US"/>
        </w:rPr>
        <w:t>ot</w:t>
      </w:r>
      <w:proofErr w:type="spellEnd"/>
      <w:r w:rsidRPr="00192812">
        <w:rPr>
          <w:rFonts w:asciiTheme="minorHAnsi" w:hAnsiTheme="minorHAnsi" w:cstheme="minorHAnsi"/>
          <w:shd w:val="clear" w:color="auto" w:fill="FFFFFF"/>
        </w:rPr>
        <w:t>_20.08.2015_520.</w:t>
      </w:r>
      <w:r w:rsidRPr="00192812">
        <w:rPr>
          <w:rFonts w:asciiTheme="minorHAnsi" w:hAnsiTheme="minorHAnsi" w:cstheme="minorHAnsi"/>
          <w:shd w:val="clear" w:color="auto" w:fill="FFFFFF"/>
          <w:lang w:val="en-US"/>
        </w:rPr>
        <w:t>pdf</w:t>
      </w:r>
      <w:r w:rsidRPr="00192812">
        <w:rPr>
          <w:rFonts w:asciiTheme="minorHAnsi" w:hAnsiTheme="minorHAnsi" w:cstheme="minorHAnsi"/>
          <w:color w:val="000000"/>
          <w:shd w:val="clear" w:color="auto" w:fill="FFFFFF"/>
        </w:rPr>
        <w:t xml:space="preserve"> . </w:t>
      </w:r>
    </w:p>
    <w:p w14:paraId="73B46749" w14:textId="77777777" w:rsidR="00F936BB" w:rsidRPr="00F936BB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</w:pPr>
      <w:r w:rsidRPr="00F936BB">
        <w:rPr>
          <w:rFonts w:asciiTheme="minorHAnsi" w:hAnsiTheme="minorHAnsi" w:cstheme="minorHAnsi"/>
        </w:rPr>
        <w:t xml:space="preserve">Методология оценки рыночной стоимости доменных имен второго уровня в доменах верхнего уровня .RU и .РФ на вторичном рынке доменных имен. </w:t>
      </w:r>
      <w:hyperlink r:id="rId6" w:history="1">
        <w:r w:rsidRPr="00F936BB">
          <w:rPr>
            <w:rFonts w:asciiTheme="minorHAnsi" w:hAnsiTheme="minorHAnsi" w:cstheme="minorHAnsi"/>
          </w:rPr>
          <w:t>https://app.cctld.ru/KC_buklet_2020.pdf</w:t>
        </w:r>
      </w:hyperlink>
    </w:p>
    <w:p w14:paraId="6F37E2C1" w14:textId="14329615" w:rsidR="00323A99" w:rsidRDefault="005A4262" w:rsidP="005A4262">
      <w:pPr>
        <w:pStyle w:val="a3"/>
        <w:numPr>
          <w:ilvl w:val="0"/>
          <w:numId w:val="5"/>
        </w:numPr>
        <w:spacing w:before="60" w:line="276" w:lineRule="auto"/>
        <w:ind w:hanging="513"/>
        <w:jc w:val="both"/>
      </w:pPr>
      <w:proofErr w:type="spellStart"/>
      <w:r w:rsidRPr="00F936BB">
        <w:rPr>
          <w:rFonts w:asciiTheme="minorHAnsi" w:hAnsiTheme="minorHAnsi" w:cstheme="minorHAnsi"/>
        </w:rPr>
        <w:t>Мамаджанов</w:t>
      </w:r>
      <w:proofErr w:type="spellEnd"/>
      <w:r w:rsidRPr="00F936BB">
        <w:rPr>
          <w:rFonts w:asciiTheme="minorHAnsi" w:hAnsiTheme="minorHAnsi" w:cstheme="minorHAnsi"/>
        </w:rPr>
        <w:t xml:space="preserve"> Х.А. Оценка стоимости интеллектуальной собственности и нематериальных активов. Анализ и рекомендации по применению Федерального стандарта оценки № 11 / Х.А. </w:t>
      </w:r>
      <w:proofErr w:type="spellStart"/>
      <w:r w:rsidRPr="00F936BB">
        <w:rPr>
          <w:rFonts w:asciiTheme="minorHAnsi" w:hAnsiTheme="minorHAnsi" w:cstheme="minorHAnsi"/>
        </w:rPr>
        <w:t>Мамаджанов</w:t>
      </w:r>
      <w:proofErr w:type="spellEnd"/>
      <w:r w:rsidRPr="00F936BB">
        <w:rPr>
          <w:rFonts w:asciiTheme="minorHAnsi" w:hAnsiTheme="minorHAnsi" w:cstheme="minorHAnsi"/>
        </w:rPr>
        <w:t>. – М.: Общероссийская общественная организация «Российское общество оценщиков», 217. – 345, [5] с.: ил. – Сер. «Энциклопедия оценки».</w:t>
      </w:r>
    </w:p>
    <w:sectPr w:rsidR="003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7EA"/>
    <w:multiLevelType w:val="multilevel"/>
    <w:tmpl w:val="47223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89127D"/>
    <w:multiLevelType w:val="hybridMultilevel"/>
    <w:tmpl w:val="F66E8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635E0"/>
    <w:multiLevelType w:val="hybridMultilevel"/>
    <w:tmpl w:val="F66E8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F5876"/>
    <w:multiLevelType w:val="hybridMultilevel"/>
    <w:tmpl w:val="F66E8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32507"/>
    <w:multiLevelType w:val="hybridMultilevel"/>
    <w:tmpl w:val="F66E8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4150532">
    <w:abstractNumId w:val="0"/>
  </w:num>
  <w:num w:numId="2" w16cid:durableId="1210414466">
    <w:abstractNumId w:val="3"/>
  </w:num>
  <w:num w:numId="3" w16cid:durableId="1148594625">
    <w:abstractNumId w:val="1"/>
  </w:num>
  <w:num w:numId="4" w16cid:durableId="505754277">
    <w:abstractNumId w:val="4"/>
  </w:num>
  <w:num w:numId="5" w16cid:durableId="730353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262"/>
    <w:rsid w:val="00323A99"/>
    <w:rsid w:val="005A4262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A7D4"/>
  <w15:chartTrackingRefBased/>
  <w15:docId w15:val="{78A28A4C-DFA6-44AD-9C98-03C79849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Уровент 2.2,Абзац списка4,Абзац списка ЦНЭС,Начало абзаца,SA Text List,SA PM Red,Список точки,СПИСОК,List Paragraph,Нумерованный,маркировка1,Заголовок ур.2 (1 раздел),Заголовок 3 -третий уровень,8т рис"/>
    <w:basedOn w:val="a"/>
    <w:link w:val="a4"/>
    <w:uiPriority w:val="34"/>
    <w:qFormat/>
    <w:rsid w:val="005A426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Уровент 2.2 Знак,Абзац списка4 Знак,Абзац списка ЦНЭС Знак,Начало абзаца Знак,SA Text List Знак,SA PM Red Знак,Список точки Знак,СПИСОК Знак,List Paragraph Знак,Нумерованный Знак,маркировка1 Знак,Заголовок ур.2 (1 раздел) Знак"/>
    <w:basedOn w:val="a0"/>
    <w:link w:val="a3"/>
    <w:uiPriority w:val="34"/>
    <w:locked/>
    <w:rsid w:val="005A4262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2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42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cctld.ru/KC_buklet_2020.pdf" TargetMode="External"/><Relationship Id="rId5" Type="http://schemas.openxmlformats.org/officeDocument/2006/relationships/hyperlink" Target="http://www.cbinsight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Kurbanov</dc:creator>
  <cp:keywords/>
  <dc:description/>
  <cp:lastModifiedBy>Murat Kurbanov</cp:lastModifiedBy>
  <cp:revision>2</cp:revision>
  <dcterms:created xsi:type="dcterms:W3CDTF">2022-08-10T06:34:00Z</dcterms:created>
  <dcterms:modified xsi:type="dcterms:W3CDTF">2022-08-10T06:35:00Z</dcterms:modified>
</cp:coreProperties>
</file>