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0536" w14:textId="348A2138" w:rsidR="00304948" w:rsidRPr="00E003AE" w:rsidRDefault="00304948" w:rsidP="00304948">
      <w:pPr>
        <w:pStyle w:val="a3"/>
        <w:tabs>
          <w:tab w:val="left" w:pos="0"/>
          <w:tab w:val="left" w:pos="1134"/>
        </w:tabs>
        <w:spacing w:after="0" w:line="252" w:lineRule="auto"/>
        <w:ind w:left="714"/>
        <w:jc w:val="right"/>
        <w:rPr>
          <w:sz w:val="24"/>
          <w:szCs w:val="24"/>
        </w:rPr>
      </w:pPr>
      <w:r w:rsidRPr="00E003AE">
        <w:rPr>
          <w:sz w:val="24"/>
          <w:szCs w:val="24"/>
        </w:rPr>
        <w:t xml:space="preserve">Приложение </w:t>
      </w:r>
      <w:r w:rsidR="009C01D5" w:rsidRPr="00E003AE">
        <w:rPr>
          <w:sz w:val="24"/>
          <w:szCs w:val="24"/>
        </w:rPr>
        <w:t>1</w:t>
      </w:r>
      <w:r w:rsidR="00850378" w:rsidRPr="00E003AE">
        <w:rPr>
          <w:sz w:val="24"/>
          <w:szCs w:val="24"/>
        </w:rPr>
        <w:t>.</w:t>
      </w:r>
    </w:p>
    <w:p w14:paraId="4335E90B" w14:textId="627F8215" w:rsidR="00304948" w:rsidRPr="00E003AE" w:rsidRDefault="00850378" w:rsidP="00304948">
      <w:pPr>
        <w:pStyle w:val="a3"/>
        <w:tabs>
          <w:tab w:val="left" w:pos="0"/>
          <w:tab w:val="left" w:pos="1134"/>
        </w:tabs>
        <w:spacing w:after="120" w:line="252" w:lineRule="auto"/>
        <w:ind w:left="714"/>
        <w:contextualSpacing w:val="0"/>
        <w:jc w:val="center"/>
        <w:rPr>
          <w:b/>
          <w:bCs/>
          <w:sz w:val="24"/>
          <w:szCs w:val="24"/>
        </w:rPr>
      </w:pPr>
      <w:r w:rsidRPr="00E003AE">
        <w:rPr>
          <w:b/>
          <w:bCs/>
          <w:sz w:val="24"/>
          <w:szCs w:val="24"/>
        </w:rPr>
        <w:t>Обзор</w:t>
      </w:r>
      <w:r w:rsidR="009C70F2" w:rsidRPr="00E003AE">
        <w:rPr>
          <w:b/>
          <w:bCs/>
          <w:sz w:val="24"/>
          <w:szCs w:val="24"/>
        </w:rPr>
        <w:t xml:space="preserve"> </w:t>
      </w:r>
      <w:r w:rsidR="00FE26C1">
        <w:rPr>
          <w:b/>
          <w:bCs/>
          <w:sz w:val="24"/>
          <w:szCs w:val="24"/>
        </w:rPr>
        <w:t xml:space="preserve">судебной практики и документов </w:t>
      </w:r>
      <w:r w:rsidR="009C70F2" w:rsidRPr="00E003AE">
        <w:rPr>
          <w:b/>
          <w:bCs/>
          <w:sz w:val="24"/>
          <w:szCs w:val="24"/>
        </w:rPr>
        <w:t>по тем</w:t>
      </w:r>
      <w:r w:rsidR="00F65379" w:rsidRPr="00E003AE">
        <w:rPr>
          <w:b/>
          <w:bCs/>
          <w:sz w:val="24"/>
          <w:szCs w:val="24"/>
        </w:rPr>
        <w:t>е</w:t>
      </w:r>
    </w:p>
    <w:tbl>
      <w:tblPr>
        <w:tblStyle w:val="ad"/>
        <w:tblW w:w="15309" w:type="dxa"/>
        <w:jc w:val="center"/>
        <w:tblLook w:val="04A0" w:firstRow="1" w:lastRow="0" w:firstColumn="1" w:lastColumn="0" w:noHBand="0" w:noVBand="1"/>
      </w:tblPr>
      <w:tblGrid>
        <w:gridCol w:w="1999"/>
        <w:gridCol w:w="13310"/>
      </w:tblGrid>
      <w:tr w:rsidR="009C70F2" w:rsidRPr="00E003AE" w14:paraId="1A06B063" w14:textId="64C10BE4" w:rsidTr="004E67F5">
        <w:trPr>
          <w:tblHeader/>
          <w:jc w:val="center"/>
        </w:trPr>
        <w:tc>
          <w:tcPr>
            <w:tcW w:w="1980" w:type="dxa"/>
            <w:shd w:val="clear" w:color="auto" w:fill="F2F2F2" w:themeFill="background1" w:themeFillShade="F2"/>
            <w:vAlign w:val="center"/>
          </w:tcPr>
          <w:p w14:paraId="2E5550BA" w14:textId="494FCF10" w:rsidR="009C70F2" w:rsidRPr="00E003AE" w:rsidRDefault="007928AA" w:rsidP="00101713">
            <w:pPr>
              <w:jc w:val="center"/>
              <w:rPr>
                <w:b/>
                <w:bCs/>
              </w:rPr>
            </w:pPr>
            <w:r w:rsidRPr="00E003AE">
              <w:rPr>
                <w:b/>
                <w:bCs/>
              </w:rPr>
              <w:t>Вариант вывода</w:t>
            </w:r>
          </w:p>
        </w:tc>
        <w:tc>
          <w:tcPr>
            <w:tcW w:w="13183" w:type="dxa"/>
            <w:shd w:val="clear" w:color="auto" w:fill="F2F2F2" w:themeFill="background1" w:themeFillShade="F2"/>
            <w:vAlign w:val="center"/>
          </w:tcPr>
          <w:p w14:paraId="5CF2181F" w14:textId="07A090E9" w:rsidR="009C70F2" w:rsidRPr="00E003AE" w:rsidRDefault="009E20F3" w:rsidP="00101713">
            <w:pPr>
              <w:jc w:val="center"/>
              <w:rPr>
                <w:b/>
                <w:bCs/>
              </w:rPr>
            </w:pPr>
            <w:r w:rsidRPr="00E003AE">
              <w:rPr>
                <w:b/>
                <w:bCs/>
              </w:rPr>
              <w:t xml:space="preserve">Комментарий </w:t>
            </w:r>
          </w:p>
        </w:tc>
      </w:tr>
      <w:tr w:rsidR="009C70F2" w:rsidRPr="00E003AE" w14:paraId="749C4FE8" w14:textId="48176D4C" w:rsidTr="004E67F5">
        <w:trPr>
          <w:jc w:val="center"/>
        </w:trPr>
        <w:tc>
          <w:tcPr>
            <w:tcW w:w="1980" w:type="dxa"/>
            <w:vAlign w:val="center"/>
          </w:tcPr>
          <w:p w14:paraId="0A803C77" w14:textId="4E5E9FD8" w:rsidR="007C7514" w:rsidRPr="00E003AE" w:rsidRDefault="00BE659C" w:rsidP="00310DBD">
            <w:r w:rsidRPr="00E003AE">
              <w:t>категорический</w:t>
            </w:r>
          </w:p>
        </w:tc>
        <w:tc>
          <w:tcPr>
            <w:tcW w:w="13183" w:type="dxa"/>
          </w:tcPr>
          <w:p w14:paraId="351D53E5" w14:textId="3F3C4137" w:rsidR="00307FC6" w:rsidRPr="00E003AE" w:rsidRDefault="00BE659C" w:rsidP="00F50A31">
            <w:pPr>
              <w:tabs>
                <w:tab w:val="left" w:pos="0"/>
                <w:tab w:val="left" w:pos="1134"/>
              </w:tabs>
              <w:jc w:val="both"/>
            </w:pPr>
            <w:r w:rsidRPr="00E003AE">
              <w:t>Результаты в виде интервала (диапазона) значений р</w:t>
            </w:r>
            <w:r w:rsidR="002C1ECD" w:rsidRPr="00E003AE">
              <w:t>аспространен</w:t>
            </w:r>
            <w:r w:rsidRPr="00E003AE">
              <w:t>ы</w:t>
            </w:r>
            <w:r w:rsidR="002C1ECD" w:rsidRPr="00E003AE">
              <w:t xml:space="preserve"> </w:t>
            </w:r>
            <w:r w:rsidR="007C7514" w:rsidRPr="00E003AE">
              <w:t xml:space="preserve">в судебной практике, </w:t>
            </w:r>
            <w:r w:rsidR="00C73872" w:rsidRPr="00E003AE">
              <w:t>п</w:t>
            </w:r>
            <w:r w:rsidR="00C73872" w:rsidRPr="00E003AE">
              <w:rPr>
                <w:rFonts w:cstheme="minorHAnsi"/>
              </w:rPr>
              <w:t>ринима</w:t>
            </w:r>
            <w:r w:rsidR="00C73872">
              <w:rPr>
                <w:rFonts w:cstheme="minorHAnsi"/>
              </w:rPr>
              <w:t>ю</w:t>
            </w:r>
            <w:r w:rsidR="00C73872" w:rsidRPr="00E003AE">
              <w:rPr>
                <w:rFonts w:cstheme="minorHAnsi"/>
              </w:rPr>
              <w:t xml:space="preserve">тся </w:t>
            </w:r>
            <w:r w:rsidR="00F50A31" w:rsidRPr="00E003AE">
              <w:rPr>
                <w:rFonts w:cstheme="minorHAnsi"/>
              </w:rPr>
              <w:t>во внимание Судом при разрешении вопросов по существу,</w:t>
            </w:r>
            <w:r w:rsidR="00F50A31" w:rsidRPr="00E003AE">
              <w:t xml:space="preserve"> </w:t>
            </w:r>
            <w:r w:rsidR="007C7514" w:rsidRPr="00E003AE">
              <w:t>например:</w:t>
            </w:r>
          </w:p>
          <w:p w14:paraId="668F8E06" w14:textId="5DC6CB54" w:rsidR="000828F3" w:rsidRPr="00E003AE" w:rsidRDefault="000828F3" w:rsidP="00310E2C">
            <w:pPr>
              <w:pStyle w:val="a3"/>
              <w:numPr>
                <w:ilvl w:val="0"/>
                <w:numId w:val="16"/>
              </w:numPr>
              <w:ind w:left="473"/>
              <w:jc w:val="both"/>
              <w:rPr>
                <w:i/>
                <w:iCs/>
              </w:rPr>
            </w:pPr>
            <w:r w:rsidRPr="00E003AE">
              <w:rPr>
                <w:bCs/>
              </w:rPr>
              <w:t>«</w:t>
            </w:r>
            <w:r w:rsidR="007C7514" w:rsidRPr="00E003AE">
              <w:rPr>
                <w:bCs/>
              </w:rPr>
              <w:t xml:space="preserve">В </w:t>
            </w:r>
            <w:r w:rsidR="007C7514" w:rsidRPr="00E003AE">
              <w:t>рамках</w:t>
            </w:r>
            <w:r w:rsidR="007C7514" w:rsidRPr="00E003AE">
              <w:rPr>
                <w:bCs/>
              </w:rPr>
              <w:t xml:space="preserve"> исследования эксперт привел полноценный анализ сегмента рынка объекта исследования, отобрав несколько объектов в качестве аналогов, определил рыночную стоимость объекта оценки; эксперт применил все необходимые корректировки в связи с выявленными отличиями объекта оценки от объектов-аналогов, скорректированные стоимости объектов-аналогов находятся в пределах возможного коэффициента вариации. Рыночная стоимость объекта исследования определена с учетом индивидуальных характеристик и находится в пределах диапазона рыночных цен данного сегмента рынка коммерческой недвижимости.</w:t>
            </w:r>
            <w:r w:rsidRPr="00E003AE">
              <w:rPr>
                <w:bCs/>
              </w:rPr>
              <w:t xml:space="preserve"> </w:t>
            </w:r>
            <w:r w:rsidR="007C7514" w:rsidRPr="00E003AE">
              <w:rPr>
                <w:b/>
              </w:rPr>
              <w:t xml:space="preserve">Итоговое значение 1 кв. м рыночной стоимости объекта недвижимости по состоянию на </w:t>
            </w:r>
            <w:r w:rsidR="00BE659C" w:rsidRPr="00E003AE">
              <w:rPr>
                <w:b/>
              </w:rPr>
              <w:t>0</w:t>
            </w:r>
            <w:r w:rsidR="007C7514" w:rsidRPr="00E003AE">
              <w:rPr>
                <w:b/>
              </w:rPr>
              <w:t>1</w:t>
            </w:r>
            <w:r w:rsidR="00BE659C" w:rsidRPr="00E003AE">
              <w:rPr>
                <w:b/>
              </w:rPr>
              <w:t>.01.</w:t>
            </w:r>
            <w:r w:rsidR="007C7514" w:rsidRPr="00E003AE">
              <w:rPr>
                <w:b/>
              </w:rPr>
              <w:t xml:space="preserve">2019 составляет </w:t>
            </w:r>
            <w:r w:rsidR="00DF4E30" w:rsidRPr="00E003AE">
              <w:rPr>
                <w:b/>
              </w:rPr>
              <w:br/>
            </w:r>
            <w:r w:rsidR="007C7514" w:rsidRPr="00E003AE">
              <w:rPr>
                <w:b/>
              </w:rPr>
              <w:t>2 051, 06 руб./кв. м (26 622 000 руб</w:t>
            </w:r>
            <w:r w:rsidR="00BE659C" w:rsidRPr="00E003AE">
              <w:rPr>
                <w:b/>
              </w:rPr>
              <w:t>.</w:t>
            </w:r>
            <w:r w:rsidR="007C7514" w:rsidRPr="00E003AE">
              <w:rPr>
                <w:b/>
              </w:rPr>
              <w:t>), что находится в диапазоне цен предложений объектов торгово-офисного назначения</w:t>
            </w:r>
            <w:r w:rsidR="00DF4E30" w:rsidRPr="00E003AE">
              <w:rPr>
                <w:b/>
              </w:rPr>
              <w:br/>
            </w:r>
            <w:r w:rsidR="007C7514" w:rsidRPr="00E003AE">
              <w:rPr>
                <w:b/>
              </w:rPr>
              <w:t>от 1 109 до 76 923 руб./кв. м, подтверждает рассчитанное экспертом значение рыночной стоимости</w:t>
            </w:r>
            <w:r w:rsidRPr="00E003AE">
              <w:rPr>
                <w:bCs/>
              </w:rPr>
              <w:t>».</w:t>
            </w:r>
            <w:r w:rsidRPr="00E003AE">
              <w:rPr>
                <w:bCs/>
                <w:i/>
                <w:iCs/>
              </w:rPr>
              <w:t xml:space="preserve"> </w:t>
            </w:r>
            <w:r w:rsidRPr="00E003AE">
              <w:rPr>
                <w:i/>
                <w:iCs/>
              </w:rPr>
              <w:t xml:space="preserve">Апелляционное определение Первого апелляционного суда общей юрисдикции от 27.07.2021 по делу </w:t>
            </w:r>
            <w:r w:rsidR="00C73872">
              <w:rPr>
                <w:i/>
                <w:iCs/>
              </w:rPr>
              <w:t>№</w:t>
            </w:r>
            <w:r w:rsidRPr="00E003AE">
              <w:rPr>
                <w:i/>
                <w:iCs/>
              </w:rPr>
              <w:t>66а-3425/2021;</w:t>
            </w:r>
          </w:p>
          <w:p w14:paraId="564564AD" w14:textId="43F19D61" w:rsidR="000828F3" w:rsidRPr="00E003AE" w:rsidRDefault="00BE659C" w:rsidP="00310E2C">
            <w:pPr>
              <w:pStyle w:val="a3"/>
              <w:numPr>
                <w:ilvl w:val="0"/>
                <w:numId w:val="16"/>
              </w:numPr>
              <w:ind w:left="473"/>
              <w:jc w:val="both"/>
            </w:pPr>
            <w:r w:rsidRPr="00E003AE">
              <w:t>«</w:t>
            </w:r>
            <w:r w:rsidR="007C7514" w:rsidRPr="00E003AE">
              <w:t xml:space="preserve">ответчиком представлено экспертное заключение ЗАО </w:t>
            </w:r>
            <w:r w:rsidR="00C73872" w:rsidRPr="00E003AE">
              <w:rPr>
                <w:bCs/>
              </w:rPr>
              <w:t>«</w:t>
            </w:r>
            <w:r w:rsidR="007C7514" w:rsidRPr="00E003AE">
              <w:t>ХХХ</w:t>
            </w:r>
            <w:r w:rsidR="00C73872" w:rsidRPr="00E003AE">
              <w:t>»</w:t>
            </w:r>
            <w:r w:rsidR="007C7514" w:rsidRPr="00E003AE">
              <w:t>, являющееся основанием для установленных ставок. … Экспертом определен диапазон, исходя из условий рынка, ставок арендной платы в процентах от кадастровой стоимости в пределах от 3% до 7,8% … Кроме того, по ходатайству административного истца судом первой инстанции назначена и проведена судебная экономическая экспертиза, проведение которой поручено ООО «ХХХ»…</w:t>
            </w:r>
            <w:r w:rsidR="000828F3" w:rsidRPr="00E003AE">
              <w:t xml:space="preserve"> </w:t>
            </w:r>
            <w:r w:rsidR="007C7514" w:rsidRPr="00E003AE">
              <w:t xml:space="preserve">Исследовав представленное экономическое обоснование, суд первой инстанции обоснованно исходил из того, что ставка арендной платы за земельные участки в размере 5,91% от кадастровой стоимости установлена административным ответчиком </w:t>
            </w:r>
            <w:r w:rsidR="007C7514" w:rsidRPr="00E003AE">
              <w:rPr>
                <w:b/>
                <w:bCs/>
              </w:rPr>
              <w:t>в пределах интервала</w:t>
            </w:r>
            <w:r w:rsidR="007C7514" w:rsidRPr="00E003AE">
              <w:t xml:space="preserve">, предложенного в экспертном заключении ЗАО </w:t>
            </w:r>
            <w:r w:rsidR="00C73872" w:rsidRPr="00E003AE">
              <w:t>«</w:t>
            </w:r>
            <w:r w:rsidR="007C7514" w:rsidRPr="00E003AE">
              <w:t>ХХХ</w:t>
            </w:r>
            <w:r w:rsidR="00C73872" w:rsidRPr="00E003AE">
              <w:t>»</w:t>
            </w:r>
            <w:r w:rsidR="007C7514" w:rsidRPr="00E003AE">
              <w:t xml:space="preserve"> …</w:t>
            </w:r>
            <w:r w:rsidR="000828F3" w:rsidRPr="00E003AE">
              <w:t>»</w:t>
            </w:r>
            <w:r w:rsidR="007C7514" w:rsidRPr="00E003AE">
              <w:t>.</w:t>
            </w:r>
            <w:r w:rsidR="000828F3" w:rsidRPr="00E003AE">
              <w:t xml:space="preserve"> </w:t>
            </w:r>
            <w:r w:rsidR="000828F3" w:rsidRPr="00E003AE">
              <w:rPr>
                <w:i/>
                <w:iCs/>
              </w:rPr>
              <w:t>Апелляционное определение Судебной коллегии по административным делам Верховного Суда РФ</w:t>
            </w:r>
            <w:r w:rsidR="00FE26C1">
              <w:rPr>
                <w:i/>
                <w:iCs/>
              </w:rPr>
              <w:br/>
            </w:r>
            <w:r w:rsidR="000828F3" w:rsidRPr="00E003AE">
              <w:rPr>
                <w:i/>
                <w:iCs/>
              </w:rPr>
              <w:t xml:space="preserve">от 11.04.2019 </w:t>
            </w:r>
            <w:r w:rsidR="00C73872">
              <w:rPr>
                <w:i/>
                <w:iCs/>
              </w:rPr>
              <w:t>№</w:t>
            </w:r>
            <w:r w:rsidR="000828F3" w:rsidRPr="00E003AE">
              <w:rPr>
                <w:i/>
                <w:iCs/>
              </w:rPr>
              <w:t>49-АПА19-1;</w:t>
            </w:r>
          </w:p>
          <w:p w14:paraId="0DFE0EE4" w14:textId="478F6EB9" w:rsidR="000828F3" w:rsidRPr="00E003AE" w:rsidRDefault="00BE659C" w:rsidP="00310E2C">
            <w:pPr>
              <w:pStyle w:val="a3"/>
              <w:numPr>
                <w:ilvl w:val="0"/>
                <w:numId w:val="16"/>
              </w:numPr>
              <w:ind w:left="473"/>
              <w:jc w:val="both"/>
            </w:pPr>
            <w:r w:rsidRPr="00E003AE">
              <w:rPr>
                <w:bCs/>
              </w:rPr>
              <w:t>«</w:t>
            </w:r>
            <w:r w:rsidR="007C7514" w:rsidRPr="00E003AE">
              <w:rPr>
                <w:bCs/>
              </w:rPr>
              <w:t xml:space="preserve">суд … пришел к выводу о необходимости проведения по делу финансово-экономической экспертизы с постановкой перед экспертом вопроса: какова рыночная стоимость доли в размере 65,927% уставного капитала ООО </w:t>
            </w:r>
            <w:r w:rsidR="00C73872" w:rsidRPr="00E003AE">
              <w:t>«</w:t>
            </w:r>
            <w:r w:rsidR="007C7514" w:rsidRPr="00E003AE">
              <w:rPr>
                <w:bCs/>
              </w:rPr>
              <w:t>ХХХ1</w:t>
            </w:r>
            <w:r w:rsidR="00670140" w:rsidRPr="00E003AE">
              <w:t>»</w:t>
            </w:r>
            <w:r w:rsidR="007C7514" w:rsidRPr="00E003AE">
              <w:rPr>
                <w:bCs/>
              </w:rPr>
              <w:t xml:space="preserve">, </w:t>
            </w:r>
            <w:r w:rsidRPr="00E003AE">
              <w:rPr>
                <w:bCs/>
              </w:rPr>
              <w:t>…</w:t>
            </w:r>
            <w:r w:rsidR="007C7514" w:rsidRPr="00E003AE">
              <w:rPr>
                <w:bCs/>
              </w:rPr>
              <w:t xml:space="preserve"> </w:t>
            </w:r>
            <w:r w:rsidR="007C7514" w:rsidRPr="00E003AE">
              <w:rPr>
                <w:b/>
              </w:rPr>
              <w:t>(определить эту стоимость в твердой сумме,</w:t>
            </w:r>
            <w:r w:rsidRPr="00E003AE">
              <w:rPr>
                <w:b/>
              </w:rPr>
              <w:t xml:space="preserve"> </w:t>
            </w:r>
            <w:r w:rsidR="007C7514" w:rsidRPr="00E003AE">
              <w:rPr>
                <w:b/>
              </w:rPr>
              <w:t xml:space="preserve">а в случае невозможности </w:t>
            </w:r>
            <w:r w:rsidR="00670140">
              <w:rPr>
                <w:b/>
              </w:rPr>
              <w:t>—</w:t>
            </w:r>
            <w:r w:rsidR="007C7514" w:rsidRPr="00E003AE">
              <w:rPr>
                <w:b/>
              </w:rPr>
              <w:t xml:space="preserve"> в виде диапазона с указанием вероятной цены в твердой сумме на даты 19 и 29 декабря 2008 года)</w:t>
            </w:r>
            <w:r w:rsidR="000828F3" w:rsidRPr="00E003AE">
              <w:rPr>
                <w:bCs/>
              </w:rPr>
              <w:t xml:space="preserve">». </w:t>
            </w:r>
            <w:r w:rsidR="000828F3" w:rsidRPr="00E003AE">
              <w:rPr>
                <w:i/>
                <w:iCs/>
              </w:rPr>
              <w:t xml:space="preserve">Постановление Тринадцатого арбитражного апелляционного суда от 14.11.2019 </w:t>
            </w:r>
            <w:r w:rsidR="00670140">
              <w:rPr>
                <w:i/>
                <w:iCs/>
              </w:rPr>
              <w:t>№</w:t>
            </w:r>
            <w:r w:rsidR="000828F3" w:rsidRPr="00E003AE">
              <w:rPr>
                <w:i/>
                <w:iCs/>
              </w:rPr>
              <w:t>13АП-28429/2019, 13АП-28423/2019 по делу</w:t>
            </w:r>
            <w:r w:rsidRPr="00E003AE">
              <w:rPr>
                <w:i/>
                <w:iCs/>
              </w:rPr>
              <w:t xml:space="preserve"> </w:t>
            </w:r>
            <w:r w:rsidR="00670140">
              <w:rPr>
                <w:i/>
                <w:iCs/>
              </w:rPr>
              <w:t>№</w:t>
            </w:r>
            <w:r w:rsidR="000828F3" w:rsidRPr="00E003AE">
              <w:rPr>
                <w:i/>
                <w:iCs/>
              </w:rPr>
              <w:t>А56-1820/2010;</w:t>
            </w:r>
          </w:p>
          <w:p w14:paraId="45C8C60A" w14:textId="57601E09" w:rsidR="007C7514" w:rsidRPr="00E003AE" w:rsidRDefault="000828F3" w:rsidP="00310E2C">
            <w:pPr>
              <w:pStyle w:val="a3"/>
              <w:numPr>
                <w:ilvl w:val="0"/>
                <w:numId w:val="16"/>
              </w:numPr>
              <w:ind w:left="473"/>
              <w:jc w:val="both"/>
            </w:pPr>
            <w:r w:rsidRPr="00E003AE">
              <w:t>«</w:t>
            </w:r>
            <w:r w:rsidR="007C7514" w:rsidRPr="00E003AE">
              <w:rPr>
                <w:bCs/>
              </w:rPr>
              <w:t xml:space="preserve">Апелляционный суд, отмечая, что </w:t>
            </w:r>
            <w:r w:rsidR="007C7514" w:rsidRPr="00E003AE">
              <w:rPr>
                <w:b/>
              </w:rPr>
              <w:t>любое экспертное заключение практически всегда носит в той или иной степени вероятностный характер</w:t>
            </w:r>
            <w:r w:rsidR="007C7514" w:rsidRPr="00E003AE">
              <w:rPr>
                <w:bCs/>
              </w:rPr>
              <w:t xml:space="preserve">, признал заключение от 09.01.2020 </w:t>
            </w:r>
            <w:r w:rsidR="00670140">
              <w:rPr>
                <w:bCs/>
              </w:rPr>
              <w:t>№</w:t>
            </w:r>
            <w:r w:rsidR="007C7514" w:rsidRPr="00E003AE">
              <w:rPr>
                <w:bCs/>
              </w:rPr>
              <w:t xml:space="preserve">1/2020, выполненное экспертом ООО </w:t>
            </w:r>
            <w:r w:rsidR="00670140" w:rsidRPr="00E003AE">
              <w:rPr>
                <w:bCs/>
              </w:rPr>
              <w:t>«</w:t>
            </w:r>
            <w:r w:rsidR="007C7514" w:rsidRPr="00E003AE">
              <w:rPr>
                <w:bCs/>
              </w:rPr>
              <w:t>ХХХ</w:t>
            </w:r>
            <w:r w:rsidR="00670140" w:rsidRPr="00E003AE">
              <w:t>»</w:t>
            </w:r>
            <w:r w:rsidR="007C7514" w:rsidRPr="00E003AE">
              <w:rPr>
                <w:bCs/>
              </w:rPr>
              <w:t xml:space="preserve"> ФИО, надлежащим доказательством и в связи с этим пришел к обоснованному выводу, что </w:t>
            </w:r>
            <w:r w:rsidR="007C7514" w:rsidRPr="00E003AE">
              <w:rPr>
                <w:b/>
              </w:rPr>
              <w:t>цена приобретения Заводом в период с 19.12.2008 по 29.12.2008 доли в размере 65,927% уставного капитала ООО </w:t>
            </w:r>
            <w:r w:rsidR="00670140" w:rsidRPr="00E003AE">
              <w:rPr>
                <w:bCs/>
              </w:rPr>
              <w:t>«</w:t>
            </w:r>
            <w:r w:rsidR="007C7514" w:rsidRPr="00E003AE">
              <w:rPr>
                <w:b/>
              </w:rPr>
              <w:t>ХХХ1</w:t>
            </w:r>
            <w:r w:rsidR="00670140" w:rsidRPr="00E003AE">
              <w:t>»</w:t>
            </w:r>
            <w:r w:rsidR="007C7514" w:rsidRPr="00E003AE">
              <w:rPr>
                <w:b/>
              </w:rPr>
              <w:t xml:space="preserve"> </w:t>
            </w:r>
            <w:r w:rsidR="00670140">
              <w:rPr>
                <w:b/>
              </w:rPr>
              <w:t>—</w:t>
            </w:r>
            <w:r w:rsidR="007C7514" w:rsidRPr="00E003AE">
              <w:rPr>
                <w:b/>
              </w:rPr>
              <w:t xml:space="preserve"> 612 808 280 руб. 33 коп. находится в пределах установленного экспертом диапазона ее рыночной стоимости</w:t>
            </w:r>
            <w:r w:rsidRPr="00E003AE">
              <w:rPr>
                <w:bCs/>
              </w:rPr>
              <w:t xml:space="preserve">». </w:t>
            </w:r>
            <w:r w:rsidRPr="00E003AE">
              <w:rPr>
                <w:i/>
                <w:iCs/>
              </w:rPr>
              <w:t xml:space="preserve">Постановление Арбитражного суда Северо-Западного округа от 21.12.2020 </w:t>
            </w:r>
            <w:r w:rsidR="00670140">
              <w:rPr>
                <w:i/>
                <w:iCs/>
              </w:rPr>
              <w:t>№</w:t>
            </w:r>
            <w:r w:rsidRPr="00E003AE">
              <w:rPr>
                <w:i/>
                <w:iCs/>
              </w:rPr>
              <w:t>Ф07-13053/2020 по делу</w:t>
            </w:r>
            <w:r w:rsidR="00A33535">
              <w:rPr>
                <w:i/>
                <w:iCs/>
              </w:rPr>
              <w:t xml:space="preserve"> </w:t>
            </w:r>
            <w:r w:rsidR="00670140">
              <w:rPr>
                <w:i/>
                <w:iCs/>
              </w:rPr>
              <w:t>№</w:t>
            </w:r>
            <w:r w:rsidRPr="00E003AE">
              <w:rPr>
                <w:i/>
                <w:iCs/>
              </w:rPr>
              <w:t>А56-1486/2010.</w:t>
            </w:r>
          </w:p>
        </w:tc>
      </w:tr>
      <w:tr w:rsidR="007C7514" w:rsidRPr="00E003AE" w14:paraId="4FDAF517" w14:textId="77777777" w:rsidTr="004E67F5">
        <w:trPr>
          <w:jc w:val="center"/>
        </w:trPr>
        <w:tc>
          <w:tcPr>
            <w:tcW w:w="1980" w:type="dxa"/>
            <w:vAlign w:val="center"/>
          </w:tcPr>
          <w:p w14:paraId="1668D43B" w14:textId="58A6057D" w:rsidR="007C7514" w:rsidRPr="00E003AE" w:rsidRDefault="00BE659C" w:rsidP="007C7514">
            <w:r w:rsidRPr="00E003AE">
              <w:t>в</w:t>
            </w:r>
            <w:r w:rsidR="007C7514" w:rsidRPr="00E003AE">
              <w:t>ероятностный</w:t>
            </w:r>
          </w:p>
        </w:tc>
        <w:tc>
          <w:tcPr>
            <w:tcW w:w="13183" w:type="dxa"/>
          </w:tcPr>
          <w:p w14:paraId="69545730" w14:textId="44C30297" w:rsidR="00310E2C" w:rsidRPr="00E003AE" w:rsidRDefault="007C7514" w:rsidP="00310E2C">
            <w:pPr>
              <w:tabs>
                <w:tab w:val="left" w:pos="0"/>
                <w:tab w:val="left" w:pos="1134"/>
              </w:tabs>
              <w:jc w:val="both"/>
            </w:pPr>
            <w:r w:rsidRPr="00E003AE">
              <w:rPr>
                <w:rFonts w:cstheme="minorHAnsi"/>
                <w:b/>
                <w:bCs/>
              </w:rPr>
              <w:t>1.</w:t>
            </w:r>
            <w:r w:rsidRPr="00E003AE">
              <w:rPr>
                <w:rFonts w:cstheme="minorHAnsi"/>
              </w:rPr>
              <w:t xml:space="preserve"> </w:t>
            </w:r>
            <w:r w:rsidR="002C1ECD" w:rsidRPr="00E003AE">
              <w:t xml:space="preserve">Распространен </w:t>
            </w:r>
            <w:r w:rsidR="00310E2C" w:rsidRPr="00E003AE">
              <w:t>в судебной практике, п</w:t>
            </w:r>
            <w:r w:rsidR="00310E2C" w:rsidRPr="00E003AE">
              <w:rPr>
                <w:rFonts w:cstheme="minorHAnsi"/>
              </w:rPr>
              <w:t>ринимается во внимание Судом при разрешении вопросов по существу,</w:t>
            </w:r>
            <w:r w:rsidR="00310E2C" w:rsidRPr="00E003AE">
              <w:t xml:space="preserve"> в </w:t>
            </w:r>
            <w:proofErr w:type="gramStart"/>
            <w:r w:rsidR="00310E2C" w:rsidRPr="00E003AE">
              <w:t>т.ч.</w:t>
            </w:r>
            <w:proofErr w:type="gramEnd"/>
            <w:r w:rsidR="00310E2C" w:rsidRPr="00E003AE">
              <w:t xml:space="preserve"> в уголовном судопроизводстве, например:</w:t>
            </w:r>
          </w:p>
          <w:p w14:paraId="3219902C" w14:textId="24EE4690" w:rsidR="00A46B8F" w:rsidRPr="00E003AE" w:rsidRDefault="00A46B8F" w:rsidP="00A46B8F">
            <w:pPr>
              <w:pStyle w:val="a3"/>
              <w:numPr>
                <w:ilvl w:val="1"/>
                <w:numId w:val="17"/>
              </w:numPr>
              <w:ind w:left="473"/>
              <w:jc w:val="both"/>
              <w:rPr>
                <w:bCs/>
                <w:i/>
                <w:iCs/>
              </w:rPr>
            </w:pPr>
            <w:r w:rsidRPr="00E003AE">
              <w:rPr>
                <w:bCs/>
              </w:rPr>
              <w:lastRenderedPageBreak/>
              <w:t xml:space="preserve">«Требование же о недопустимости основывать обвинительный приговор на предположениях не тождественно запрету на использование в процессе доказывания отдельных доказательств, имеющих вероятностный характер». </w:t>
            </w:r>
            <w:r w:rsidRPr="00E003AE">
              <w:rPr>
                <w:bCs/>
                <w:i/>
                <w:iCs/>
              </w:rPr>
              <w:t xml:space="preserve">Определения Конституционного Суда РФ от 21.12.2011 </w:t>
            </w:r>
            <w:r w:rsidR="00670140">
              <w:rPr>
                <w:bCs/>
                <w:i/>
                <w:iCs/>
              </w:rPr>
              <w:t>№</w:t>
            </w:r>
            <w:r w:rsidRPr="00E003AE">
              <w:rPr>
                <w:bCs/>
                <w:i/>
                <w:iCs/>
              </w:rPr>
              <w:t xml:space="preserve">1682-О-О, от 21.10.2008 </w:t>
            </w:r>
            <w:r w:rsidR="00670140">
              <w:rPr>
                <w:bCs/>
                <w:i/>
                <w:iCs/>
              </w:rPr>
              <w:t>№</w:t>
            </w:r>
            <w:r w:rsidRPr="00E003AE">
              <w:rPr>
                <w:bCs/>
                <w:i/>
                <w:iCs/>
              </w:rPr>
              <w:t>566-О-О;</w:t>
            </w:r>
          </w:p>
          <w:p w14:paraId="47C4850C" w14:textId="712A8BE9" w:rsidR="00310E2C" w:rsidRPr="00E003AE" w:rsidRDefault="00310E2C" w:rsidP="00A46B8F">
            <w:pPr>
              <w:pStyle w:val="a3"/>
              <w:numPr>
                <w:ilvl w:val="1"/>
                <w:numId w:val="17"/>
              </w:numPr>
              <w:ind w:left="473"/>
              <w:jc w:val="both"/>
              <w:rPr>
                <w:i/>
                <w:iCs/>
              </w:rPr>
            </w:pPr>
            <w:r w:rsidRPr="00E003AE">
              <w:rPr>
                <w:bCs/>
              </w:rPr>
              <w:t xml:space="preserve">«… суды пришли к выводу, что </w:t>
            </w:r>
            <w:r w:rsidRPr="00E003AE">
              <w:rPr>
                <w:b/>
              </w:rPr>
              <w:t>размер упущенной выгоды определен с высокой степенью вероятности, достаточной для взыскания убытков</w:t>
            </w:r>
            <w:r w:rsidRPr="00E003AE">
              <w:rPr>
                <w:bCs/>
              </w:rPr>
              <w:t xml:space="preserve">». </w:t>
            </w:r>
            <w:r w:rsidRPr="00E003AE">
              <w:rPr>
                <w:i/>
                <w:iCs/>
              </w:rPr>
              <w:t xml:space="preserve">Постановление Суда по интеллектуальным правам от 12.10.2015 по делу </w:t>
            </w:r>
            <w:r w:rsidR="00670140">
              <w:rPr>
                <w:i/>
                <w:iCs/>
              </w:rPr>
              <w:t>№</w:t>
            </w:r>
            <w:r w:rsidRPr="00E003AE">
              <w:rPr>
                <w:i/>
                <w:iCs/>
              </w:rPr>
              <w:t xml:space="preserve">А56-23056/2013 </w:t>
            </w:r>
            <w:r w:rsidR="00670140" w:rsidRPr="00E003AE">
              <w:rPr>
                <w:bCs/>
              </w:rPr>
              <w:t>«</w:t>
            </w:r>
            <w:r w:rsidRPr="00E003AE">
              <w:rPr>
                <w:i/>
                <w:iCs/>
              </w:rPr>
              <w:t xml:space="preserve">Доклад ФАС России с руководством по соблюдению обязательных требований, дающим разъяснение, какое поведение является правомерным" (утв. ФАС России) Разъяснение Президиума ФАС России от 11.10.2017 </w:t>
            </w:r>
            <w:r w:rsidR="00670140">
              <w:rPr>
                <w:i/>
                <w:iCs/>
              </w:rPr>
              <w:t>№</w:t>
            </w:r>
            <w:r w:rsidRPr="00E003AE">
              <w:rPr>
                <w:i/>
                <w:iCs/>
              </w:rPr>
              <w:t xml:space="preserve">11 </w:t>
            </w:r>
            <w:r w:rsidR="00670140" w:rsidRPr="00E003AE">
              <w:rPr>
                <w:bCs/>
              </w:rPr>
              <w:t>«</w:t>
            </w:r>
            <w:r w:rsidRPr="00E003AE">
              <w:rPr>
                <w:i/>
                <w:iCs/>
              </w:rPr>
              <w:t>По определению размера убытков, причиненных в результате нарушения антимонопольного законодательства</w:t>
            </w:r>
            <w:r w:rsidR="00670140" w:rsidRPr="00E003AE">
              <w:rPr>
                <w:bCs/>
              </w:rPr>
              <w:t>»</w:t>
            </w:r>
            <w:r w:rsidRPr="00E003AE">
              <w:rPr>
                <w:i/>
                <w:iCs/>
              </w:rPr>
              <w:t xml:space="preserve"> (утв. протоколом Президиума ФАС России от 11.10.2017 </w:t>
            </w:r>
            <w:r w:rsidR="00670140">
              <w:rPr>
                <w:i/>
                <w:iCs/>
              </w:rPr>
              <w:t>№</w:t>
            </w:r>
            <w:r w:rsidRPr="00E003AE">
              <w:rPr>
                <w:i/>
                <w:iCs/>
              </w:rPr>
              <w:t>20);</w:t>
            </w:r>
          </w:p>
          <w:p w14:paraId="57F44004" w14:textId="01D2C606" w:rsidR="00A46B8F" w:rsidRPr="00E003AE" w:rsidRDefault="00A46B8F" w:rsidP="00A46B8F">
            <w:pPr>
              <w:pStyle w:val="a3"/>
              <w:numPr>
                <w:ilvl w:val="1"/>
                <w:numId w:val="17"/>
              </w:numPr>
              <w:ind w:left="473"/>
              <w:jc w:val="both"/>
              <w:rPr>
                <w:i/>
                <w:iCs/>
              </w:rPr>
            </w:pPr>
            <w:r w:rsidRPr="00E003AE">
              <w:rPr>
                <w:bCs/>
              </w:rPr>
              <w:t xml:space="preserve">«Как следует из заключения эксперта </w:t>
            </w:r>
            <w:r w:rsidR="00670140" w:rsidRPr="00E003AE">
              <w:rPr>
                <w:bCs/>
              </w:rPr>
              <w:t>«</w:t>
            </w:r>
            <w:r w:rsidRPr="00E003AE">
              <w:rPr>
                <w:bCs/>
              </w:rPr>
              <w:t>№ 1</w:t>
            </w:r>
            <w:r w:rsidR="00670140" w:rsidRPr="00E003AE">
              <w:rPr>
                <w:bCs/>
              </w:rPr>
              <w:t>»</w:t>
            </w:r>
            <w:r w:rsidRPr="00E003AE">
              <w:rPr>
                <w:bCs/>
              </w:rPr>
              <w:t xml:space="preserve"> от 13.07.2018 …: "Ввиду того, что очаг пожара определяется массой мелкодисперсной кондитерской смеси, рассмотрим версию возникновения данного пожара в результате самовозгорания. … попадание влаги в массу смеси </w:t>
            </w:r>
            <w:r w:rsidRPr="00E003AE">
              <w:rPr>
                <w:b/>
                <w:bCs/>
              </w:rPr>
              <w:t>может</w:t>
            </w:r>
            <w:r w:rsidRPr="00E003AE">
              <w:rPr>
                <w:bCs/>
              </w:rPr>
              <w:t xml:space="preserve"> запустить деятельность микроорганизмов, которая в свою очередь сопровождается выделением тепла. Этот процесс </w:t>
            </w:r>
            <w:r w:rsidRPr="00E003AE">
              <w:rPr>
                <w:b/>
                <w:bCs/>
              </w:rPr>
              <w:t>может</w:t>
            </w:r>
            <w:r w:rsidRPr="00E003AE">
              <w:rPr>
                <w:bCs/>
              </w:rPr>
              <w:t xml:space="preserve"> послужить импульсом к запуску процесса самонагревания массы вещества. … Таким образом, данная версия возникновения пожара </w:t>
            </w:r>
            <w:r w:rsidRPr="00E003AE">
              <w:rPr>
                <w:b/>
                <w:bCs/>
              </w:rPr>
              <w:t xml:space="preserve">возможна. </w:t>
            </w:r>
            <w:r w:rsidRPr="00E003AE">
              <w:rPr>
                <w:bCs/>
              </w:rPr>
              <w:t xml:space="preserve">Вывод заключения: </w:t>
            </w:r>
            <w:r w:rsidR="00670140" w:rsidRPr="00E003AE">
              <w:rPr>
                <w:bCs/>
              </w:rPr>
              <w:t>«</w:t>
            </w:r>
            <w:r w:rsidRPr="00E003AE">
              <w:rPr>
                <w:b/>
                <w:bCs/>
              </w:rPr>
              <w:t>Наиболее вероятной</w:t>
            </w:r>
            <w:r w:rsidRPr="00E003AE">
              <w:rPr>
                <w:bCs/>
              </w:rPr>
              <w:t xml:space="preserve"> причиной данного пожара послужило самовозгорание массы кондитерской смеси</w:t>
            </w:r>
            <w:r w:rsidR="00670140" w:rsidRPr="00E003AE">
              <w:rPr>
                <w:bCs/>
              </w:rPr>
              <w:t>»</w:t>
            </w:r>
            <w:r w:rsidRPr="00E003AE">
              <w:rPr>
                <w:bCs/>
              </w:rPr>
              <w:t xml:space="preserve">. </w:t>
            </w:r>
            <w:r w:rsidRPr="00E003AE">
              <w:rPr>
                <w:b/>
                <w:bCs/>
              </w:rPr>
              <w:t>…</w:t>
            </w:r>
            <w:r w:rsidRPr="00E003AE">
              <w:rPr>
                <w:bCs/>
              </w:rPr>
              <w:t xml:space="preserve">Вывод эксперта № 2, п. 7 стр. 26 Заключения: </w:t>
            </w:r>
            <w:r w:rsidR="00670140" w:rsidRPr="00E003AE">
              <w:rPr>
                <w:bCs/>
              </w:rPr>
              <w:t>«</w:t>
            </w:r>
            <w:r w:rsidRPr="00E003AE">
              <w:rPr>
                <w:bCs/>
              </w:rPr>
              <w:t xml:space="preserve">причиной пожара могло послужить самовозгорание (тепловое либо химическое равно вероятностно </w:t>
            </w:r>
            <w:r w:rsidR="00A33535">
              <w:rPr>
                <w:bCs/>
              </w:rPr>
              <w:t>–</w:t>
            </w:r>
            <w:r w:rsidRPr="00E003AE">
              <w:rPr>
                <w:bCs/>
              </w:rPr>
              <w:t xml:space="preserve"> дифференцировать конкретный вид источника самонагревания экспертным путем из имеющейся информации установить </w:t>
            </w:r>
            <w:r w:rsidRPr="00E003AE">
              <w:rPr>
                <w:b/>
                <w:bCs/>
              </w:rPr>
              <w:t>не представляется возможным</w:t>
            </w:r>
            <w:r w:rsidRPr="00E003AE">
              <w:rPr>
                <w:bCs/>
              </w:rPr>
              <w:t xml:space="preserve">), также невозможно полностью исключить возможность внесения источника зажигания небольшой мощности». Заключение устояло в совокупности со всеми имеющимися в материалах дела доказательствами (другими заключениями экспертов и специалистов). </w:t>
            </w:r>
            <w:r w:rsidRPr="00E003AE">
              <w:rPr>
                <w:i/>
                <w:iCs/>
              </w:rPr>
              <w:t xml:space="preserve">Постановление Арбитражного суда Московского округа от 04.02.2021 </w:t>
            </w:r>
            <w:r w:rsidR="00670140">
              <w:rPr>
                <w:i/>
                <w:iCs/>
              </w:rPr>
              <w:t>№</w:t>
            </w:r>
            <w:r w:rsidRPr="00E003AE">
              <w:rPr>
                <w:i/>
                <w:iCs/>
              </w:rPr>
              <w:t xml:space="preserve">Ф05-21189/2020 по делу </w:t>
            </w:r>
            <w:r w:rsidR="00670140">
              <w:rPr>
                <w:i/>
                <w:iCs/>
              </w:rPr>
              <w:t>№</w:t>
            </w:r>
            <w:r w:rsidRPr="00E003AE">
              <w:rPr>
                <w:i/>
                <w:iCs/>
              </w:rPr>
              <w:t>А40-283115/2019</w:t>
            </w:r>
            <w:r w:rsidR="00D85E43" w:rsidRPr="00E003AE">
              <w:rPr>
                <w:i/>
                <w:iCs/>
              </w:rPr>
              <w:t>;</w:t>
            </w:r>
          </w:p>
          <w:p w14:paraId="781E82E5" w14:textId="1171B765" w:rsidR="00D85E43" w:rsidRPr="00E003AE" w:rsidRDefault="00D85E43" w:rsidP="00D85E43">
            <w:pPr>
              <w:pStyle w:val="a3"/>
              <w:numPr>
                <w:ilvl w:val="1"/>
                <w:numId w:val="17"/>
              </w:numPr>
              <w:ind w:left="473"/>
              <w:jc w:val="both"/>
              <w:rPr>
                <w:i/>
                <w:iCs/>
              </w:rPr>
            </w:pPr>
            <w:r w:rsidRPr="00E003AE">
              <w:rPr>
                <w:bCs/>
              </w:rPr>
              <w:t xml:space="preserve">«По результатам проведения экспертизы в материалы дела поступило заключение от 27.05.2021 N 132/01-СЗ, в котором отражены выводы эксперта об идентичности подписей от имени генерального директора ООО "ХХХ" ФИО, проставленных во всех спорных актах и справках, между собой, </w:t>
            </w:r>
            <w:r w:rsidRPr="00E003AE">
              <w:rPr>
                <w:b/>
                <w:bCs/>
              </w:rPr>
              <w:t xml:space="preserve">но также сделан вероятностный вывод </w:t>
            </w:r>
            <w:r w:rsidRPr="00E003AE">
              <w:rPr>
                <w:bCs/>
              </w:rPr>
              <w:t xml:space="preserve">о том, что исследуемые подписи выполнены не ФИО, а иным лицом, с подражанием его подписи… Между тем, вероятностный </w:t>
            </w:r>
            <w:r w:rsidRPr="00E003AE">
              <w:rPr>
                <w:b/>
              </w:rPr>
              <w:t>вывод эксперта основан на составе представленного для исследования материала</w:t>
            </w:r>
            <w:r w:rsidRPr="00E003AE">
              <w:rPr>
                <w:bCs/>
              </w:rPr>
              <w:t xml:space="preserve"> и о неполноте или противоречивости исследования не свидетельствует, предусмотренных статьей 87 АПК РФ оснований для назначения дополнительной экспертизы не установлено, ходатайство отклонено». Заключение устояло, в совокупности с имеющимися в материалах дела доказательствами. </w:t>
            </w:r>
            <w:r w:rsidRPr="00E003AE">
              <w:rPr>
                <w:i/>
                <w:iCs/>
              </w:rPr>
              <w:t xml:space="preserve">Постановление Тринадцатого арбитражного апелляционного суда от 23.07.2021 N 13АП-27049/2020 по делу </w:t>
            </w:r>
            <w:r w:rsidR="00670140">
              <w:rPr>
                <w:i/>
                <w:iCs/>
              </w:rPr>
              <w:t>№</w:t>
            </w:r>
            <w:r w:rsidRPr="00E003AE">
              <w:rPr>
                <w:i/>
                <w:iCs/>
              </w:rPr>
              <w:t>А56-40307/2020;</w:t>
            </w:r>
          </w:p>
          <w:p w14:paraId="3F9AF469" w14:textId="0F43F275" w:rsidR="00B1723C" w:rsidRPr="00E003AE" w:rsidRDefault="00B1723C" w:rsidP="00B1723C">
            <w:pPr>
              <w:pStyle w:val="a3"/>
              <w:numPr>
                <w:ilvl w:val="1"/>
                <w:numId w:val="17"/>
              </w:numPr>
              <w:ind w:left="473"/>
              <w:jc w:val="both"/>
            </w:pPr>
            <w:r w:rsidRPr="00E003AE">
              <w:rPr>
                <w:bCs/>
              </w:rPr>
              <w:t xml:space="preserve">«…Эксперт ФИО35 в ходе повторного допроса пояснил, что изначально сообщал руководителю </w:t>
            </w:r>
            <w:r w:rsidRPr="00E003AE">
              <w:rPr>
                <w:b/>
                <w:bCs/>
              </w:rPr>
              <w:t>о недостаточности материалов</w:t>
            </w:r>
            <w:r w:rsidRPr="00E003AE">
              <w:rPr>
                <w:bCs/>
              </w:rPr>
              <w:t xml:space="preserve">, а свои выводы сделал на показаниях потерпевшей и свидетелей ФИО51 и ФИО75 Кроме того, эксперт ФИО35 отметил, что не может исключить иные версии возникновения пожара, в том числе короткое замыкание или небезопасную эксплуатацию электроприборов. В связи с этим считает выводы экспертов вероятностными, не исключающими иную версию возгорания… </w:t>
            </w:r>
            <w:proofErr w:type="spellStart"/>
            <w:r w:rsidRPr="00E003AE">
              <w:rPr>
                <w:bCs/>
              </w:rPr>
              <w:t>Неисключение</w:t>
            </w:r>
            <w:proofErr w:type="spellEnd"/>
            <w:r w:rsidRPr="00E003AE">
              <w:rPr>
                <w:bCs/>
              </w:rPr>
              <w:t xml:space="preserve"> экспертами иных предполагаемых стороной защиты причин пожара, неприменение метода исключения, равно как и заявление эксперта ФИО35 </w:t>
            </w:r>
            <w:r w:rsidRPr="00E003AE">
              <w:rPr>
                <w:b/>
                <w:bCs/>
              </w:rPr>
              <w:t>о недостаточности предоставленных ему на исследование материалов для категоричных выводов</w:t>
            </w:r>
            <w:r w:rsidRPr="00E003AE">
              <w:rPr>
                <w:bCs/>
              </w:rPr>
              <w:t xml:space="preserve"> о месте очаговой зоны пожара и причине пожара, не являются предусмотренными УПК РФ основаниями для признания недопустимыми заключений пожарно-технических экспертиз </w:t>
            </w:r>
            <w:r w:rsidR="00A33535">
              <w:rPr>
                <w:bCs/>
              </w:rPr>
              <w:t>№</w:t>
            </w:r>
            <w:r w:rsidRPr="00E003AE">
              <w:rPr>
                <w:bCs/>
              </w:rPr>
              <w:t xml:space="preserve"> от ДД.ММ.ГГГГ и </w:t>
            </w:r>
            <w:r w:rsidR="00A33535">
              <w:rPr>
                <w:bCs/>
              </w:rPr>
              <w:t>№</w:t>
            </w:r>
            <w:r w:rsidRPr="00E003AE">
              <w:rPr>
                <w:bCs/>
              </w:rPr>
              <w:t xml:space="preserve"> от ДД.ММ.ГГГГ, поскольку их </w:t>
            </w:r>
            <w:r w:rsidRPr="00E003AE">
              <w:rPr>
                <w:b/>
                <w:bCs/>
              </w:rPr>
              <w:t xml:space="preserve">выводы по своему содержанию являются вероятными, </w:t>
            </w:r>
            <w:r w:rsidRPr="00E003AE">
              <w:rPr>
                <w:b/>
                <w:bCs/>
              </w:rPr>
              <w:lastRenderedPageBreak/>
              <w:t>что, в свою очередь, как раз и обусловлено характером и объемом представленных экспертам исходных данных. Уголовно-процессуальный закон не исключает возможность использования в процессе доказывания вероятностных выводов экспертов</w:t>
            </w:r>
            <w:r w:rsidRPr="00E003AE">
              <w:rPr>
                <w:bCs/>
              </w:rPr>
              <w:t xml:space="preserve">, при этом указывая в соответствии с принципом свободы оценки доказательств на отсутствие заранее установленной силы таковых и устанавливая строго определенные ст. ст. 87 и 88 УПК РФ правила проверки и оценки доказательств, которые по настоящему делу судом соблюдены… Кроме того, в судебном заседании допрошенный по ходатайству стороны защиты эксперт ФИО32 прямо указал об отсутствии по делу исходных данных для категоричного вывода о причине возникновения пожара». </w:t>
            </w:r>
            <w:r w:rsidRPr="00E003AE">
              <w:rPr>
                <w:i/>
                <w:iCs/>
              </w:rPr>
              <w:t xml:space="preserve">Апелляционное определение Пятого апелляционного суда общей юрисдикции от 17.06.2021 по делу </w:t>
            </w:r>
            <w:proofErr w:type="gramStart"/>
            <w:r w:rsidR="00670140">
              <w:rPr>
                <w:i/>
                <w:iCs/>
              </w:rPr>
              <w:t>№</w:t>
            </w:r>
            <w:r w:rsidRPr="00E003AE">
              <w:rPr>
                <w:i/>
                <w:iCs/>
              </w:rPr>
              <w:t>55-299/2021</w:t>
            </w:r>
            <w:proofErr w:type="gramEnd"/>
            <w:r w:rsidRPr="00E003AE">
              <w:rPr>
                <w:i/>
                <w:iCs/>
              </w:rPr>
              <w:t>;</w:t>
            </w:r>
          </w:p>
          <w:p w14:paraId="632E914A" w14:textId="38BDE778" w:rsidR="00B1723C" w:rsidRPr="00E003AE" w:rsidDel="006706F9" w:rsidRDefault="00B1723C" w:rsidP="00E373D8">
            <w:pPr>
              <w:pStyle w:val="a3"/>
              <w:numPr>
                <w:ilvl w:val="1"/>
                <w:numId w:val="17"/>
              </w:numPr>
              <w:ind w:left="473"/>
              <w:jc w:val="both"/>
            </w:pPr>
            <w:r w:rsidRPr="00E003AE">
              <w:rPr>
                <w:bCs/>
              </w:rPr>
              <w:t xml:space="preserve">«Доводы конкурсного управляющего о том, что выводы судебной экспертизы носят вероятностный характер и заключение не может являться достаточным и допустимым доказательством по делу, отклоняются судом, поскольку </w:t>
            </w:r>
            <w:r w:rsidRPr="00E003AE">
              <w:rPr>
                <w:b/>
              </w:rPr>
              <w:t>вероятностный характер выводов судебной экспертизы не свидетельствует о незаконности или необоснованности экспертизы</w:t>
            </w:r>
            <w:r w:rsidRPr="00E003AE">
              <w:rPr>
                <w:bCs/>
              </w:rPr>
              <w:t xml:space="preserve">, заключение эксперта не является исключительным средством доказывания и в соответствии и оценивается судом наряду с иными доказательствами». </w:t>
            </w:r>
            <w:r w:rsidRPr="00E003AE">
              <w:rPr>
                <w:i/>
                <w:iCs/>
              </w:rPr>
              <w:t>Определение Арбитражного суда Ставропольского края от 19.10.2021 по делу № А63-9480/2018;</w:t>
            </w:r>
          </w:p>
          <w:p w14:paraId="27022B15" w14:textId="02C035D5" w:rsidR="002C1ECD" w:rsidRPr="00E003AE" w:rsidRDefault="002C1ECD" w:rsidP="002C1ECD">
            <w:pPr>
              <w:pStyle w:val="a3"/>
              <w:numPr>
                <w:ilvl w:val="1"/>
                <w:numId w:val="17"/>
              </w:numPr>
              <w:ind w:left="473"/>
              <w:jc w:val="both"/>
            </w:pPr>
            <w:r w:rsidRPr="00E003AE">
              <w:t>«…</w:t>
            </w:r>
            <w:r w:rsidRPr="00E003AE">
              <w:rPr>
                <w:b/>
                <w:bCs/>
              </w:rPr>
              <w:t>вероятная доля</w:t>
            </w:r>
            <w:r w:rsidRPr="00E003AE">
              <w:t xml:space="preserve"> АО </w:t>
            </w:r>
            <w:r w:rsidR="00670140" w:rsidRPr="00E003AE">
              <w:rPr>
                <w:bCs/>
              </w:rPr>
              <w:t>«</w:t>
            </w:r>
            <w:proofErr w:type="spellStart"/>
            <w:r w:rsidRPr="00E003AE">
              <w:t>Омскоблводопровод</w:t>
            </w:r>
            <w:proofErr w:type="spellEnd"/>
            <w:r w:rsidR="00670140" w:rsidRPr="00E003AE">
              <w:rPr>
                <w:bCs/>
              </w:rPr>
              <w:t>»</w:t>
            </w:r>
            <w:r w:rsidRPr="00E003AE">
              <w:t xml:space="preserve"> в причиненном ущербе отмостки может быть обозначена в размере </w:t>
            </w:r>
            <w:r w:rsidRPr="00E003AE">
              <w:rPr>
                <w:b/>
                <w:bCs/>
              </w:rPr>
              <w:t>20%</w:t>
            </w:r>
            <w:r w:rsidRPr="00E003AE">
              <w:t xml:space="preserve"> от общей суммы ущерба». </w:t>
            </w:r>
            <w:r w:rsidRPr="00E003AE">
              <w:rPr>
                <w:i/>
                <w:iCs/>
              </w:rPr>
              <w:t xml:space="preserve">Апелляционное определение Омского областного суда от 06.03.2019 по делу </w:t>
            </w:r>
            <w:proofErr w:type="gramStart"/>
            <w:r w:rsidR="00670140">
              <w:rPr>
                <w:i/>
                <w:iCs/>
              </w:rPr>
              <w:t>№</w:t>
            </w:r>
            <w:r w:rsidRPr="00E003AE">
              <w:rPr>
                <w:i/>
                <w:iCs/>
              </w:rPr>
              <w:t>33-1458/2019</w:t>
            </w:r>
            <w:proofErr w:type="gramEnd"/>
            <w:r w:rsidR="00A463D1" w:rsidRPr="00E003AE">
              <w:rPr>
                <w:i/>
                <w:iCs/>
              </w:rPr>
              <w:t>;</w:t>
            </w:r>
          </w:p>
          <w:p w14:paraId="6D537F1B" w14:textId="59D11BAE" w:rsidR="008B434E" w:rsidRPr="00E003AE" w:rsidRDefault="008B434E" w:rsidP="00A66295">
            <w:pPr>
              <w:pStyle w:val="a3"/>
              <w:numPr>
                <w:ilvl w:val="1"/>
                <w:numId w:val="17"/>
              </w:numPr>
              <w:ind w:left="473"/>
              <w:jc w:val="both"/>
              <w:rPr>
                <w:bCs/>
                <w:i/>
                <w:iCs/>
              </w:rPr>
            </w:pPr>
            <w:r w:rsidRPr="00E003AE">
              <w:rPr>
                <w:bCs/>
              </w:rPr>
              <w:t>«</w:t>
            </w:r>
            <w:r w:rsidR="00283D23">
              <w:rPr>
                <w:b/>
              </w:rPr>
              <w:t>О</w:t>
            </w:r>
            <w:r w:rsidRPr="00E003AE">
              <w:rPr>
                <w:b/>
              </w:rPr>
              <w:t>бстоятельство, что выводы экспертов носят вероятностный характер, само по себе не свидетельствует о том, что их заключения являются недопустимыми доказательствами</w:t>
            </w:r>
            <w:r w:rsidRPr="00E003AE">
              <w:rPr>
                <w:bCs/>
              </w:rPr>
              <w:t xml:space="preserve">». </w:t>
            </w:r>
            <w:r w:rsidRPr="00E003AE">
              <w:rPr>
                <w:bCs/>
                <w:i/>
                <w:iCs/>
              </w:rPr>
              <w:t xml:space="preserve">Определение Верховного Суда РФ от 15.05.2012 </w:t>
            </w:r>
            <w:r w:rsidR="00670140">
              <w:rPr>
                <w:bCs/>
                <w:i/>
                <w:iCs/>
              </w:rPr>
              <w:t>№</w:t>
            </w:r>
            <w:r w:rsidRPr="00E003AE">
              <w:rPr>
                <w:bCs/>
                <w:i/>
                <w:iCs/>
              </w:rPr>
              <w:t xml:space="preserve">70-О12-5сп. Аналогичные по смыслу положения содержатся в Определениях Верховного Суда РФ от 19.06.2007 по делу </w:t>
            </w:r>
            <w:proofErr w:type="gramStart"/>
            <w:r w:rsidR="00670140">
              <w:rPr>
                <w:bCs/>
                <w:i/>
                <w:iCs/>
              </w:rPr>
              <w:t>№</w:t>
            </w:r>
            <w:r w:rsidRPr="00E003AE">
              <w:rPr>
                <w:bCs/>
                <w:i/>
                <w:iCs/>
              </w:rPr>
              <w:t>55-007-4</w:t>
            </w:r>
            <w:proofErr w:type="gramEnd"/>
            <w:r w:rsidRPr="00E003AE">
              <w:rPr>
                <w:bCs/>
                <w:i/>
                <w:iCs/>
              </w:rPr>
              <w:t xml:space="preserve">, от 21.02.2012 </w:t>
            </w:r>
            <w:r w:rsidR="00670140">
              <w:rPr>
                <w:bCs/>
                <w:i/>
                <w:iCs/>
              </w:rPr>
              <w:t>№</w:t>
            </w:r>
            <w:r w:rsidRPr="00E003AE">
              <w:rPr>
                <w:bCs/>
                <w:i/>
                <w:iCs/>
              </w:rPr>
              <w:t>5-Д12-8.</w:t>
            </w:r>
          </w:p>
          <w:p w14:paraId="230217FF" w14:textId="461FBDC6" w:rsidR="007C7514" w:rsidRPr="00E003AE" w:rsidRDefault="007C7514" w:rsidP="008B434E">
            <w:pPr>
              <w:tabs>
                <w:tab w:val="left" w:pos="0"/>
              </w:tabs>
              <w:spacing w:before="60"/>
              <w:jc w:val="both"/>
              <w:rPr>
                <w:rFonts w:cstheme="minorHAnsi"/>
                <w:i/>
                <w:iCs/>
              </w:rPr>
            </w:pPr>
            <w:r w:rsidRPr="00E003AE">
              <w:rPr>
                <w:rFonts w:cstheme="minorHAnsi"/>
                <w:b/>
                <w:bCs/>
              </w:rPr>
              <w:t>2.</w:t>
            </w:r>
            <w:r w:rsidRPr="00E003AE">
              <w:rPr>
                <w:rFonts w:cstheme="minorHAnsi"/>
              </w:rPr>
              <w:t xml:space="preserve"> Встречается в нормативных правовых актах различного уровня. Например, «в отдельных случаях, когда исходя из принятых экспертных методик и состояния объекта исследования невозможно дать категорические выводы по поставленным вопросам, выводы эксперта могут носить вероятностный характер» </w:t>
            </w:r>
            <w:r w:rsidR="008B434E" w:rsidRPr="00E003AE">
              <w:rPr>
                <w:rFonts w:cstheme="minorHAnsi"/>
                <w:i/>
                <w:iCs/>
              </w:rPr>
              <w:t xml:space="preserve">(«ГОСТ Р </w:t>
            </w:r>
            <w:proofErr w:type="gramStart"/>
            <w:r w:rsidR="008B434E" w:rsidRPr="00E003AE">
              <w:rPr>
                <w:rFonts w:cstheme="minorHAnsi"/>
                <w:i/>
                <w:iCs/>
              </w:rPr>
              <w:t>58197-2018</w:t>
            </w:r>
            <w:proofErr w:type="gramEnd"/>
            <w:r w:rsidR="008B434E" w:rsidRPr="00E003AE">
              <w:rPr>
                <w:rFonts w:cstheme="minorHAnsi"/>
                <w:i/>
                <w:iCs/>
              </w:rPr>
              <w:t xml:space="preserve">. Национальный стандарт Российской Федерации. Порядок проведения экспертизы качества автомототранспортных средств. Общие требования» (Приказ Росстандарта от 10.08.2018 </w:t>
            </w:r>
            <w:r w:rsidR="00670140">
              <w:rPr>
                <w:rFonts w:cstheme="minorHAnsi"/>
                <w:i/>
                <w:iCs/>
              </w:rPr>
              <w:t>№</w:t>
            </w:r>
            <w:r w:rsidR="008B434E" w:rsidRPr="00E003AE">
              <w:rPr>
                <w:rFonts w:cstheme="minorHAnsi"/>
                <w:i/>
                <w:iCs/>
              </w:rPr>
              <w:t>492-ст.)).</w:t>
            </w:r>
          </w:p>
          <w:p w14:paraId="4EA29FD8" w14:textId="283785BC" w:rsidR="007C7514" w:rsidRPr="00E924AB" w:rsidRDefault="007C7514" w:rsidP="00E924AB">
            <w:pPr>
              <w:tabs>
                <w:tab w:val="left" w:pos="0"/>
              </w:tabs>
              <w:spacing w:before="60"/>
              <w:jc w:val="both"/>
              <w:rPr>
                <w:rFonts w:cstheme="minorHAnsi"/>
              </w:rPr>
            </w:pPr>
            <w:r w:rsidRPr="00E003AE">
              <w:rPr>
                <w:rFonts w:cstheme="minorHAnsi"/>
                <w:b/>
                <w:bCs/>
              </w:rPr>
              <w:t>3.</w:t>
            </w:r>
            <w:r w:rsidRPr="00E003AE">
              <w:rPr>
                <w:rFonts w:cstheme="minorHAnsi"/>
              </w:rPr>
              <w:t xml:space="preserve"> Не тождественен предположению </w:t>
            </w:r>
            <w:r w:rsidR="00A463D1" w:rsidRPr="00E003AE">
              <w:rPr>
                <w:rFonts w:cstheme="minorHAnsi"/>
                <w:i/>
                <w:iCs/>
              </w:rPr>
              <w:t xml:space="preserve">(Кошманов П.М., Кошманов М.П., Шнайдер А.А. Идентификационная информативность подписи - основа отождествления ее исполнителя // Эксперт-криминалист. 2009. </w:t>
            </w:r>
            <w:r w:rsidR="00A33535">
              <w:rPr>
                <w:rFonts w:cstheme="minorHAnsi"/>
                <w:i/>
                <w:iCs/>
              </w:rPr>
              <w:t>№</w:t>
            </w:r>
            <w:r w:rsidR="00A463D1" w:rsidRPr="00E003AE">
              <w:rPr>
                <w:rFonts w:cstheme="minorHAnsi"/>
                <w:i/>
                <w:iCs/>
              </w:rPr>
              <w:t xml:space="preserve"> 1)</w:t>
            </w:r>
            <w:r w:rsidRPr="00E003AE">
              <w:rPr>
                <w:rFonts w:cstheme="minorHAnsi"/>
                <w:i/>
                <w:iCs/>
              </w:rPr>
              <w:t>.</w:t>
            </w:r>
          </w:p>
        </w:tc>
      </w:tr>
      <w:tr w:rsidR="007C7514" w:rsidRPr="00E003AE" w14:paraId="191DFC22" w14:textId="77777777" w:rsidTr="004E67F5">
        <w:trPr>
          <w:jc w:val="center"/>
        </w:trPr>
        <w:tc>
          <w:tcPr>
            <w:tcW w:w="1980" w:type="dxa"/>
            <w:vAlign w:val="center"/>
          </w:tcPr>
          <w:p w14:paraId="5B6D2EB4" w14:textId="6823EB7A" w:rsidR="007C7514" w:rsidRPr="00E003AE" w:rsidRDefault="00BE659C" w:rsidP="007C7514">
            <w:r w:rsidRPr="00E003AE">
              <w:lastRenderedPageBreak/>
              <w:t>у</w:t>
            </w:r>
            <w:r w:rsidR="007C7514" w:rsidRPr="00E003AE">
              <w:t>словный</w:t>
            </w:r>
          </w:p>
        </w:tc>
        <w:tc>
          <w:tcPr>
            <w:tcW w:w="13183" w:type="dxa"/>
          </w:tcPr>
          <w:p w14:paraId="06A593A6" w14:textId="7E8BCFA4" w:rsidR="007C7514" w:rsidRPr="00E003AE" w:rsidRDefault="007C7514" w:rsidP="00A463D1">
            <w:pPr>
              <w:tabs>
                <w:tab w:val="left" w:pos="0"/>
              </w:tabs>
              <w:jc w:val="both"/>
              <w:rPr>
                <w:rFonts w:cstheme="minorHAnsi"/>
              </w:rPr>
            </w:pPr>
            <w:r w:rsidRPr="00E003AE">
              <w:rPr>
                <w:rFonts w:cstheme="minorHAnsi"/>
              </w:rPr>
              <w:t xml:space="preserve">Предусмотрен документами Минюста – например: «если исходные данные отражают субъективный взгляд … и не могут быть проверены экспертом, то вывод, основанный на их использовании, должен быть сделан экспертом в условной форме», «экспертом дается вывод в условной форме, то есть при условии, что принятые им для расчета исходные данные соответствовали действительности на дату оценки» </w:t>
            </w:r>
            <w:r w:rsidRPr="00E003AE">
              <w:rPr>
                <w:rFonts w:cstheme="minorHAnsi"/>
                <w:i/>
                <w:iCs/>
              </w:rPr>
              <w:t xml:space="preserve">(п. 2.5, 4.2 </w:t>
            </w:r>
            <w:r w:rsidR="00A463D1" w:rsidRPr="00E003AE">
              <w:rPr>
                <w:rFonts w:cstheme="minorHAnsi"/>
                <w:i/>
                <w:iCs/>
              </w:rPr>
              <w:t>«Методические рекомендации по проведению судебных автотехнических экспертиз и исследований колесных транспортных средств в целях определения размера ущерба, стоимости восстановительного ремонта и оценки» (ФБУ РФЦСЭ при Минюсте России, 2018))</w:t>
            </w:r>
            <w:r w:rsidRPr="00E003AE">
              <w:rPr>
                <w:rFonts w:cstheme="minorHAnsi"/>
                <w:i/>
                <w:iCs/>
              </w:rPr>
              <w:t>.</w:t>
            </w:r>
          </w:p>
        </w:tc>
      </w:tr>
      <w:tr w:rsidR="007C7514" w:rsidRPr="00E003AE" w14:paraId="155EF2B5" w14:textId="426247C6" w:rsidTr="004E67F5">
        <w:trPr>
          <w:jc w:val="center"/>
        </w:trPr>
        <w:tc>
          <w:tcPr>
            <w:tcW w:w="1980" w:type="dxa"/>
            <w:vAlign w:val="center"/>
          </w:tcPr>
          <w:p w14:paraId="5A5E8502" w14:textId="32C1CC53" w:rsidR="00A463D1" w:rsidRPr="00E003AE" w:rsidRDefault="00BE659C" w:rsidP="00A463D1">
            <w:pPr>
              <w:tabs>
                <w:tab w:val="left" w:pos="0"/>
                <w:tab w:val="left" w:pos="1134"/>
              </w:tabs>
              <w:rPr>
                <w:rFonts w:cstheme="minorHAnsi"/>
              </w:rPr>
            </w:pPr>
            <w:r w:rsidRPr="00E003AE">
              <w:rPr>
                <w:rFonts w:cstheme="minorHAnsi"/>
              </w:rPr>
              <w:t>н</w:t>
            </w:r>
            <w:r w:rsidR="007C7514" w:rsidRPr="00E003AE">
              <w:rPr>
                <w:rFonts w:cstheme="minorHAnsi"/>
              </w:rPr>
              <w:t>е представляется возможным</w:t>
            </w:r>
          </w:p>
          <w:p w14:paraId="578145C8" w14:textId="77217E88" w:rsidR="007C7514" w:rsidRPr="00E003AE" w:rsidRDefault="007C7514" w:rsidP="00A463D1">
            <w:pPr>
              <w:tabs>
                <w:tab w:val="left" w:pos="0"/>
                <w:tab w:val="left" w:pos="1134"/>
              </w:tabs>
            </w:pPr>
            <w:r w:rsidRPr="00E003AE">
              <w:rPr>
                <w:rFonts w:cstheme="minorHAnsi"/>
              </w:rPr>
              <w:t>дать ответ</w:t>
            </w:r>
          </w:p>
        </w:tc>
        <w:tc>
          <w:tcPr>
            <w:tcW w:w="13183" w:type="dxa"/>
          </w:tcPr>
          <w:p w14:paraId="14004B3B" w14:textId="56A81232" w:rsidR="007C7514" w:rsidRPr="00E003AE" w:rsidRDefault="007C7514" w:rsidP="007C7514">
            <w:pPr>
              <w:tabs>
                <w:tab w:val="left" w:pos="0"/>
              </w:tabs>
              <w:jc w:val="both"/>
              <w:rPr>
                <w:rFonts w:cstheme="minorHAnsi"/>
              </w:rPr>
            </w:pPr>
            <w:r w:rsidRPr="00E003AE">
              <w:rPr>
                <w:rFonts w:cstheme="minorHAnsi"/>
                <w:b/>
                <w:bCs/>
              </w:rPr>
              <w:t>1.</w:t>
            </w:r>
            <w:r w:rsidRPr="00E003AE">
              <w:rPr>
                <w:rFonts w:cstheme="minorHAnsi"/>
              </w:rPr>
              <w:t xml:space="preserve"> Отличается от «невозможно провести исследование (дать заключение) / решить вопрос». Ст. 85 ГПК РФ установлено, что «В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Аналогичные по смыслу положения содержатся в ст. 16 Закона о судебно-экспертной деятельности, ст. 57 и ст. 199 УПК РФ, ст. 49 КАС РФ, ст. 55 АПК РФ, ст. 95 НК РФ, ст. 25.9 КоАП РФ.</w:t>
            </w:r>
          </w:p>
          <w:p w14:paraId="4D2B70E7" w14:textId="46FF6183" w:rsidR="007C7514" w:rsidRPr="00E003AE" w:rsidRDefault="007C7514" w:rsidP="007C7514">
            <w:pPr>
              <w:tabs>
                <w:tab w:val="left" w:pos="0"/>
              </w:tabs>
              <w:jc w:val="both"/>
              <w:rPr>
                <w:rFonts w:cstheme="minorHAnsi"/>
              </w:rPr>
            </w:pPr>
            <w:r w:rsidRPr="00E003AE">
              <w:rPr>
                <w:rFonts w:cstheme="minorHAnsi"/>
              </w:rPr>
              <w:lastRenderedPageBreak/>
              <w:t xml:space="preserve">Вывод о невозможности провести исследование (дать заключение) Эксперт может сделать </w:t>
            </w:r>
            <w:r w:rsidRPr="00E003AE">
              <w:rPr>
                <w:rFonts w:cstheme="minorHAnsi"/>
                <w:u w:val="single"/>
              </w:rPr>
              <w:t>до начала производства экспертизы (на его ранних стадиях)</w:t>
            </w:r>
            <w:r w:rsidRPr="00E003AE">
              <w:rPr>
                <w:rFonts w:cstheme="minorHAnsi"/>
              </w:rPr>
              <w:t>. Вывод «не представляется возможным дать ответ» дается в том случае, если само исследование было проведено.</w:t>
            </w:r>
          </w:p>
          <w:p w14:paraId="4F683E1C" w14:textId="38F8FD38" w:rsidR="007C7514" w:rsidRPr="00E003AE" w:rsidRDefault="007C7514" w:rsidP="00A463D1">
            <w:pPr>
              <w:tabs>
                <w:tab w:val="left" w:pos="0"/>
              </w:tabs>
              <w:spacing w:before="60"/>
              <w:jc w:val="both"/>
            </w:pPr>
            <w:r w:rsidRPr="00E003AE">
              <w:rPr>
                <w:rFonts w:cstheme="minorHAnsi"/>
                <w:b/>
                <w:bCs/>
              </w:rPr>
              <w:t>2.</w:t>
            </w:r>
            <w:r w:rsidRPr="00E003AE">
              <w:rPr>
                <w:rFonts w:cstheme="minorHAnsi"/>
              </w:rPr>
              <w:t xml:space="preserve"> В отдельных видах судебной экспертизы «число выводов экспертов в вероятной форме …, а также выводы в форме НПВ достигают 50% и выше» </w:t>
            </w:r>
            <w:r w:rsidR="00A463D1" w:rsidRPr="00E003AE">
              <w:rPr>
                <w:rFonts w:cstheme="minorHAnsi"/>
                <w:i/>
                <w:iCs/>
              </w:rPr>
              <w:t xml:space="preserve">(Кошманов П.М., Кошманов М.П., Шнайдер А.А. Идентификационная информативность подписи </w:t>
            </w:r>
            <w:r w:rsidR="00A33535">
              <w:rPr>
                <w:rFonts w:cstheme="minorHAnsi"/>
                <w:i/>
                <w:iCs/>
              </w:rPr>
              <w:t>–</w:t>
            </w:r>
            <w:r w:rsidR="00A463D1" w:rsidRPr="00E003AE">
              <w:rPr>
                <w:rFonts w:cstheme="minorHAnsi"/>
                <w:i/>
                <w:iCs/>
              </w:rPr>
              <w:t xml:space="preserve"> основа отождествления ее исполнителя // Эксперт-криминалист. 2009. </w:t>
            </w:r>
            <w:r w:rsidR="00A33535">
              <w:rPr>
                <w:rFonts w:cstheme="minorHAnsi"/>
                <w:i/>
                <w:iCs/>
              </w:rPr>
              <w:t>№</w:t>
            </w:r>
            <w:r w:rsidR="00A463D1" w:rsidRPr="00E003AE">
              <w:rPr>
                <w:rFonts w:cstheme="minorHAnsi"/>
                <w:i/>
                <w:iCs/>
              </w:rPr>
              <w:t xml:space="preserve"> 1).</w:t>
            </w:r>
          </w:p>
        </w:tc>
      </w:tr>
      <w:tr w:rsidR="007C7514" w:rsidRPr="00E003AE" w14:paraId="75F37E3D" w14:textId="6D23A770" w:rsidTr="004E67F5">
        <w:trPr>
          <w:jc w:val="center"/>
        </w:trPr>
        <w:tc>
          <w:tcPr>
            <w:tcW w:w="1980" w:type="dxa"/>
            <w:vAlign w:val="center"/>
          </w:tcPr>
          <w:p w14:paraId="53E0E664" w14:textId="55D554C1" w:rsidR="007C7514" w:rsidRPr="00E003AE" w:rsidRDefault="00BE659C" w:rsidP="007C7514">
            <w:pPr>
              <w:tabs>
                <w:tab w:val="left" w:pos="0"/>
              </w:tabs>
            </w:pPr>
            <w:r w:rsidRPr="00E003AE">
              <w:lastRenderedPageBreak/>
              <w:t>э</w:t>
            </w:r>
            <w:r w:rsidR="007C7514" w:rsidRPr="00E003AE">
              <w:t>кспертная инициатива</w:t>
            </w:r>
          </w:p>
        </w:tc>
        <w:tc>
          <w:tcPr>
            <w:tcW w:w="13183" w:type="dxa"/>
          </w:tcPr>
          <w:p w14:paraId="3BE4ED51" w14:textId="1CA25B7F" w:rsidR="002C1ECD" w:rsidRPr="00E003AE" w:rsidRDefault="007C7514" w:rsidP="00A463D1">
            <w:pPr>
              <w:tabs>
                <w:tab w:val="left" w:pos="0"/>
                <w:tab w:val="left" w:pos="1134"/>
              </w:tabs>
              <w:jc w:val="both"/>
              <w:rPr>
                <w:rFonts w:cstheme="minorHAnsi"/>
              </w:rPr>
            </w:pPr>
            <w:r w:rsidRPr="00E003AE">
              <w:rPr>
                <w:rFonts w:cstheme="minorHAnsi"/>
                <w:b/>
                <w:bCs/>
              </w:rPr>
              <w:t>1.</w:t>
            </w:r>
            <w:r w:rsidRPr="00E003AE">
              <w:rPr>
                <w:rFonts w:cstheme="minorHAnsi"/>
              </w:rPr>
              <w:t xml:space="preserve"> Предусмотрена</w:t>
            </w:r>
            <w:r w:rsidR="002C1ECD" w:rsidRPr="00E003AE">
              <w:rPr>
                <w:rFonts w:cstheme="minorHAnsi"/>
              </w:rPr>
              <w:t>:</w:t>
            </w:r>
          </w:p>
          <w:p w14:paraId="7AF59CB7" w14:textId="7C130EF8" w:rsidR="007B470F" w:rsidRPr="00E003AE" w:rsidRDefault="007C7514" w:rsidP="007B470F">
            <w:pPr>
              <w:pStyle w:val="a3"/>
              <w:numPr>
                <w:ilvl w:val="1"/>
                <w:numId w:val="20"/>
              </w:numPr>
              <w:ind w:left="473"/>
              <w:jc w:val="both"/>
              <w:rPr>
                <w:rFonts w:cstheme="minorHAnsi"/>
              </w:rPr>
            </w:pPr>
            <w:r w:rsidRPr="00E003AE">
              <w:rPr>
                <w:rFonts w:cstheme="minorHAnsi"/>
              </w:rPr>
              <w:t xml:space="preserve">процессуальными Кодексами РФ. </w:t>
            </w:r>
            <w:r w:rsidR="00A463D1" w:rsidRPr="00E003AE">
              <w:rPr>
                <w:rFonts w:cstheme="minorHAnsi"/>
              </w:rPr>
              <w:t>С</w:t>
            </w:r>
            <w:r w:rsidRPr="00E003AE">
              <w:rPr>
                <w:rFonts w:cstheme="minorHAnsi"/>
              </w:rPr>
              <w:t>т</w:t>
            </w:r>
            <w:r w:rsidR="00A463D1" w:rsidRPr="00E003AE">
              <w:rPr>
                <w:rFonts w:cstheme="minorHAnsi"/>
              </w:rPr>
              <w:t>атья</w:t>
            </w:r>
            <w:r w:rsidRPr="00E003AE">
              <w:rPr>
                <w:rFonts w:cstheme="minorHAnsi"/>
              </w:rPr>
              <w:t xml:space="preserve"> 86 АПК РФ</w:t>
            </w:r>
            <w:r w:rsidR="00A463D1" w:rsidRPr="00E003AE">
              <w:rPr>
                <w:rFonts w:cstheme="minorHAnsi"/>
              </w:rPr>
              <w:t>:</w:t>
            </w:r>
            <w:r w:rsidRPr="00E003AE">
              <w:rPr>
                <w:rFonts w:cstheme="minorHAnsi"/>
              </w:rPr>
              <w:t xml:space="preserve"> «Если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 Аналогичные по смыслу положения содержатся в ст. 86 ГПК РФ, ст. 204 УПК РФ</w:t>
            </w:r>
            <w:r w:rsidR="00DF4E30" w:rsidRPr="00E003AE">
              <w:rPr>
                <w:rFonts w:cstheme="minorHAnsi"/>
              </w:rPr>
              <w:t>,</w:t>
            </w:r>
            <w:r w:rsidRPr="00E003AE">
              <w:rPr>
                <w:rFonts w:cstheme="minorHAnsi"/>
              </w:rPr>
              <w:t xml:space="preserve"> ст. 82 КАС РФ</w:t>
            </w:r>
            <w:r w:rsidR="007B470F" w:rsidRPr="00E003AE">
              <w:rPr>
                <w:rFonts w:cstheme="minorHAnsi"/>
              </w:rPr>
              <w:t>;</w:t>
            </w:r>
          </w:p>
          <w:p w14:paraId="130D7C9E" w14:textId="2D6F7F7B" w:rsidR="007C7514" w:rsidRPr="00E003AE" w:rsidRDefault="007C7514" w:rsidP="007B470F">
            <w:pPr>
              <w:pStyle w:val="a3"/>
              <w:numPr>
                <w:ilvl w:val="1"/>
                <w:numId w:val="20"/>
              </w:numPr>
              <w:ind w:left="473"/>
              <w:jc w:val="both"/>
              <w:rPr>
                <w:rFonts w:cstheme="minorHAnsi"/>
              </w:rPr>
            </w:pPr>
            <w:r w:rsidRPr="00E003AE">
              <w:rPr>
                <w:rFonts w:cstheme="minorHAnsi"/>
              </w:rPr>
              <w:t>методически</w:t>
            </w:r>
            <w:r w:rsidR="007B470F" w:rsidRPr="00E003AE">
              <w:rPr>
                <w:rFonts w:cstheme="minorHAnsi"/>
              </w:rPr>
              <w:t>ми</w:t>
            </w:r>
            <w:r w:rsidRPr="00E003AE">
              <w:rPr>
                <w:rFonts w:cstheme="minorHAnsi"/>
              </w:rPr>
              <w:t xml:space="preserve"> рекомендация</w:t>
            </w:r>
            <w:r w:rsidR="007B470F" w:rsidRPr="00E003AE">
              <w:rPr>
                <w:rFonts w:cstheme="minorHAnsi"/>
              </w:rPr>
              <w:t>ми</w:t>
            </w:r>
            <w:r w:rsidRPr="00E003AE">
              <w:rPr>
                <w:rFonts w:cstheme="minorHAnsi"/>
              </w:rPr>
              <w:t xml:space="preserve"> Минюста России (п. 2.5, 2.9 приложения </w:t>
            </w:r>
            <w:r w:rsidR="007B470F" w:rsidRPr="00E003AE">
              <w:rPr>
                <w:rFonts w:cstheme="minorHAnsi"/>
              </w:rPr>
              <w:t>Приказ Министерства Юстиции Российской Федерации «Об утверждении Методических рекомендаций по производству судебных экспертиз в государственных судебно-экспертных учреждениях системы Министерства юстиции Российской Федерации» от 20.12.2002 №346</w:t>
            </w:r>
            <w:r w:rsidRPr="00E003AE">
              <w:rPr>
                <w:rFonts w:cstheme="minorHAnsi"/>
              </w:rPr>
              <w:t>) и МВД России (п. 31, 32 приложения</w:t>
            </w:r>
            <w:r w:rsidR="007B470F" w:rsidRPr="00E003AE">
              <w:rPr>
                <w:rFonts w:cstheme="minorHAnsi"/>
              </w:rPr>
              <w:t> </w:t>
            </w:r>
            <w:r w:rsidRPr="00E003AE">
              <w:rPr>
                <w:rFonts w:cstheme="minorHAnsi"/>
              </w:rPr>
              <w:t xml:space="preserve">1 </w:t>
            </w:r>
            <w:r w:rsidR="002C1ECD" w:rsidRPr="00E003AE">
              <w:rPr>
                <w:rFonts w:cstheme="minorHAnsi"/>
              </w:rPr>
              <w:t>Приказ Министерства Внутренних Дел Российской Федерации «Вопросы организации производства судебных экспертиз в</w:t>
            </w:r>
            <w:r w:rsidR="007B470F" w:rsidRPr="00E003AE">
              <w:rPr>
                <w:rFonts w:cstheme="minorHAnsi"/>
              </w:rPr>
              <w:t> </w:t>
            </w:r>
            <w:r w:rsidR="002C1ECD" w:rsidRPr="00E003AE">
              <w:rPr>
                <w:rFonts w:cstheme="minorHAnsi"/>
              </w:rPr>
              <w:t>экспертно-криминалистических подразделениях органов внутренних дел Российской Федерации» от 29.06.2005 №511</w:t>
            </w:r>
            <w:r w:rsidRPr="00E003AE">
              <w:rPr>
                <w:rFonts w:cstheme="minorHAnsi"/>
              </w:rPr>
              <w:t>).</w:t>
            </w:r>
          </w:p>
          <w:p w14:paraId="0D181186" w14:textId="77777777" w:rsidR="007C7514" w:rsidRPr="00E003AE" w:rsidRDefault="007C7514" w:rsidP="007C7514">
            <w:pPr>
              <w:tabs>
                <w:tab w:val="left" w:pos="0"/>
                <w:tab w:val="left" w:pos="1134"/>
              </w:tabs>
              <w:spacing w:before="60"/>
              <w:jc w:val="both"/>
              <w:rPr>
                <w:rFonts w:cstheme="minorHAnsi"/>
              </w:rPr>
            </w:pPr>
            <w:r w:rsidRPr="00E003AE">
              <w:rPr>
                <w:rFonts w:cstheme="minorHAnsi"/>
                <w:b/>
                <w:bCs/>
              </w:rPr>
              <w:t>2.</w:t>
            </w:r>
            <w:r w:rsidRPr="00E003AE">
              <w:rPr>
                <w:rFonts w:cstheme="minorHAnsi"/>
              </w:rPr>
              <w:t xml:space="preserve"> Применяется, например, при выявлении: </w:t>
            </w:r>
          </w:p>
          <w:p w14:paraId="0DDD701D" w14:textId="4AC02D6B" w:rsidR="007C7514" w:rsidRPr="00E003AE" w:rsidRDefault="007C7514" w:rsidP="007C7514">
            <w:pPr>
              <w:pStyle w:val="a3"/>
              <w:numPr>
                <w:ilvl w:val="0"/>
                <w:numId w:val="15"/>
              </w:numPr>
              <w:tabs>
                <w:tab w:val="left" w:pos="0"/>
                <w:tab w:val="left" w:pos="1134"/>
              </w:tabs>
              <w:ind w:left="714" w:hanging="357"/>
              <w:contextualSpacing w:val="0"/>
              <w:jc w:val="both"/>
              <w:rPr>
                <w:rFonts w:cstheme="minorHAnsi"/>
              </w:rPr>
            </w:pPr>
            <w:r w:rsidRPr="00E003AE">
              <w:rPr>
                <w:rFonts w:cstheme="minorHAnsi"/>
              </w:rPr>
              <w:t>недостоверных сведений в исходных материалах дела. «</w:t>
            </w:r>
            <w:r w:rsidRPr="00E003AE">
              <w:rPr>
                <w:bCs/>
              </w:rPr>
              <w:t xml:space="preserve">По результатам назначенной судом в рамках настоящего дела финансово-экономической экспертизы сделаны выводы о том, что по данным бухгалтерского баланса ХХХ за 2007 год величина чистых активов составляет 88 485 000 руб., а действительная стоимость доли ФИО - 4 291 522 руб. 50 коп. </w:t>
            </w:r>
            <w:r w:rsidRPr="00E003AE">
              <w:rPr>
                <w:b/>
              </w:rPr>
              <w:t xml:space="preserve">Вместе с тем, установив, что недостоверность показателей баланса общества за 2007 год имеет значение для дела, хотя по этому поводу судом не были поставлены вопросы, эксперт включил выводы об этих обстоятельствах в свое заключение </w:t>
            </w:r>
            <w:r w:rsidRPr="00E003AE">
              <w:rPr>
                <w:bCs/>
              </w:rPr>
              <w:t xml:space="preserve">в соответствии с ч. 2 ст. 86 АПК РФ. Как установлено апелляционным судом и следует из заключения эксперта, показатели баланса ХХХ за 2007 год недостоверны, поскольку в стоимость подлежащих продаже ювелирных изделий (строка 214 баланса) неправомерно включена торговая наценка, что повлекло завышение стоимости чистых активов общества и, соответственно, действительной стоимость доли истца». </w:t>
            </w:r>
            <w:r w:rsidRPr="00E003AE">
              <w:rPr>
                <w:bCs/>
                <w:i/>
                <w:iCs/>
              </w:rPr>
              <w:t xml:space="preserve">Постановление ФАС Дальневосточного округа от 22.06.2010 N Ф03-3887/2010 по делу </w:t>
            </w:r>
            <w:r w:rsidR="00670140">
              <w:rPr>
                <w:bCs/>
                <w:i/>
                <w:iCs/>
              </w:rPr>
              <w:t>№</w:t>
            </w:r>
            <w:r w:rsidRPr="00E003AE">
              <w:rPr>
                <w:bCs/>
                <w:i/>
                <w:iCs/>
              </w:rPr>
              <w:t>А73-5032/2009</w:t>
            </w:r>
            <w:r w:rsidR="00FC1847" w:rsidRPr="00E003AE">
              <w:rPr>
                <w:bCs/>
                <w:i/>
                <w:iCs/>
              </w:rPr>
              <w:t>;</w:t>
            </w:r>
          </w:p>
          <w:p w14:paraId="0BDB69C7" w14:textId="499B4F91" w:rsidR="007C7514" w:rsidRPr="00E003AE" w:rsidRDefault="007C7514" w:rsidP="007C7514">
            <w:pPr>
              <w:pStyle w:val="a3"/>
              <w:numPr>
                <w:ilvl w:val="0"/>
                <w:numId w:val="15"/>
              </w:numPr>
              <w:tabs>
                <w:tab w:val="left" w:pos="0"/>
                <w:tab w:val="left" w:pos="1134"/>
              </w:tabs>
              <w:ind w:left="714" w:hanging="357"/>
              <w:contextualSpacing w:val="0"/>
              <w:jc w:val="both"/>
            </w:pPr>
            <w:r w:rsidRPr="00E003AE">
              <w:rPr>
                <w:rFonts w:cstheme="minorHAnsi"/>
              </w:rPr>
              <w:t>нецелесообразности в ответе на поставленные судом вопросы. «</w:t>
            </w:r>
            <w:r w:rsidRPr="00E003AE">
              <w:rPr>
                <w:bCs/>
              </w:rPr>
              <w:t xml:space="preserve">Согласно заключению </w:t>
            </w:r>
            <w:proofErr w:type="gramStart"/>
            <w:r w:rsidRPr="00E003AE">
              <w:rPr>
                <w:bCs/>
              </w:rPr>
              <w:t>судебной автотехнической экспертизы ХХХ</w:t>
            </w:r>
            <w:proofErr w:type="gramEnd"/>
            <w:r w:rsidRPr="00E003AE">
              <w:rPr>
                <w:bCs/>
              </w:rPr>
              <w:t xml:space="preserve"> стоимость затрат на устранение повреждений, имеющихся на автомобиле Ниссан Фуга … составляет 393 100 руб. Однако эксперт обратил внимание, что проведение восстановительного ремонта автомобиля Ниссан Фуга, государственный регистрационный номер *** экономически нецелесообразно. </w:t>
            </w:r>
            <w:r w:rsidRPr="00E003AE">
              <w:rPr>
                <w:b/>
              </w:rPr>
              <w:t>В порядке экспертной инициативы, экспертом были дополнительно решены два вопроса, не ставившиеся судом в определении о назначении судебной экспертизы, но имеющие существенное значение (определение рыночной стоимости т/с и стоимости годных остатков)</w:t>
            </w:r>
            <w:r w:rsidRPr="00E003AE">
              <w:rPr>
                <w:bCs/>
              </w:rPr>
              <w:t xml:space="preserve">». </w:t>
            </w:r>
            <w:r w:rsidRPr="00E003AE">
              <w:rPr>
                <w:bCs/>
                <w:i/>
                <w:iCs/>
              </w:rPr>
              <w:t xml:space="preserve">Апелляционное определение Московского городского суда от 12.12.2019 по делу </w:t>
            </w:r>
            <w:proofErr w:type="gramStart"/>
            <w:r w:rsidR="00670140">
              <w:rPr>
                <w:bCs/>
                <w:i/>
                <w:iCs/>
              </w:rPr>
              <w:t>№</w:t>
            </w:r>
            <w:r w:rsidRPr="00E003AE">
              <w:rPr>
                <w:bCs/>
                <w:i/>
                <w:iCs/>
              </w:rPr>
              <w:t>33-54866/2019</w:t>
            </w:r>
            <w:proofErr w:type="gramEnd"/>
            <w:r w:rsidRPr="00E003AE">
              <w:rPr>
                <w:bCs/>
                <w:i/>
                <w:iCs/>
              </w:rPr>
              <w:t>.</w:t>
            </w:r>
          </w:p>
        </w:tc>
      </w:tr>
    </w:tbl>
    <w:p w14:paraId="5A579B41" w14:textId="345B08B3" w:rsidR="005606AB" w:rsidRDefault="005606AB">
      <w:pPr>
        <w:rPr>
          <w:sz w:val="24"/>
          <w:szCs w:val="24"/>
        </w:rPr>
      </w:pPr>
    </w:p>
    <w:sectPr w:rsidR="005606AB" w:rsidSect="005419DB">
      <w:headerReference w:type="even" r:id="rId8"/>
      <w:headerReference w:type="default" r:id="rId9"/>
      <w:footerReference w:type="default" r:id="rId10"/>
      <w:headerReference w:type="first" r:id="rId11"/>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AC6F" w14:textId="77777777" w:rsidR="00751F78" w:rsidRDefault="00751F78" w:rsidP="003973D9">
      <w:pPr>
        <w:spacing w:after="0" w:line="240" w:lineRule="auto"/>
      </w:pPr>
      <w:r>
        <w:separator/>
      </w:r>
    </w:p>
  </w:endnote>
  <w:endnote w:type="continuationSeparator" w:id="0">
    <w:p w14:paraId="0CCB9544" w14:textId="77777777" w:rsidR="00751F78" w:rsidRDefault="00751F78"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03B6DE2A" w14:textId="6B013DE1" w:rsidR="003B184D" w:rsidRDefault="003B184D">
        <w:pPr>
          <w:pStyle w:val="af0"/>
          <w:jc w:val="right"/>
        </w:pPr>
        <w:r>
          <w:fldChar w:fldCharType="begin"/>
        </w:r>
        <w:r>
          <w:instrText>PAGE   \* MERGEFORMAT</w:instrText>
        </w:r>
        <w:r>
          <w:fldChar w:fldCharType="separate"/>
        </w:r>
        <w:r w:rsidR="00C46376">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FF84" w14:textId="77777777" w:rsidR="00751F78" w:rsidRDefault="00751F78" w:rsidP="003973D9">
      <w:pPr>
        <w:spacing w:after="0" w:line="240" w:lineRule="auto"/>
      </w:pPr>
      <w:r>
        <w:separator/>
      </w:r>
    </w:p>
  </w:footnote>
  <w:footnote w:type="continuationSeparator" w:id="0">
    <w:p w14:paraId="4C29B240" w14:textId="77777777" w:rsidR="00751F78" w:rsidRDefault="00751F78"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342" w14:textId="370E397B" w:rsidR="003B184D" w:rsidRDefault="003B184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093" w14:textId="37BFE279" w:rsidR="003B184D" w:rsidRDefault="003B184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C6D9" w14:textId="1ABBF0B6" w:rsidR="003B184D" w:rsidRDefault="003B184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A31"/>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D342D"/>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AB6860"/>
    <w:multiLevelType w:val="hybridMultilevel"/>
    <w:tmpl w:val="F4A4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645C3"/>
    <w:multiLevelType w:val="hybridMultilevel"/>
    <w:tmpl w:val="2610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150E5"/>
    <w:multiLevelType w:val="hybridMultilevel"/>
    <w:tmpl w:val="6C48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D4362"/>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942BA"/>
    <w:multiLevelType w:val="hybridMultilevel"/>
    <w:tmpl w:val="42A654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11E10C7"/>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B1865"/>
    <w:multiLevelType w:val="hybridMultilevel"/>
    <w:tmpl w:val="2D789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9B11E1"/>
    <w:multiLevelType w:val="multilevel"/>
    <w:tmpl w:val="2D081C36"/>
    <w:lvl w:ilvl="0">
      <w:start w:val="1"/>
      <w:numFmt w:val="decimal"/>
      <w:lvlText w:val="%1."/>
      <w:lvlJc w:val="left"/>
      <w:pPr>
        <w:ind w:left="720" w:hanging="360"/>
      </w:pPr>
      <w:rPr>
        <w:rFonts w:hint="default"/>
        <w:b/>
        <w:bCs/>
        <w:i w:val="0"/>
        <w:iCs w:val="0"/>
      </w:rPr>
    </w:lvl>
    <w:lvl w:ilvl="1">
      <w:start w:val="1"/>
      <w:numFmt w:val="decimal"/>
      <w:isLgl/>
      <w:lvlText w:val="%1.%2."/>
      <w:lvlJc w:val="left"/>
      <w:pPr>
        <w:ind w:left="833" w:hanging="360"/>
      </w:pPr>
      <w:rPr>
        <w:rFonts w:hint="default"/>
        <w:b/>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11" w15:restartNumberingAfterBreak="0">
    <w:nsid w:val="424A405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9032D2"/>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A14422"/>
    <w:multiLevelType w:val="multilevel"/>
    <w:tmpl w:val="68C4B154"/>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b/>
        <w:bCs/>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4" w15:restartNumberingAfterBreak="0">
    <w:nsid w:val="5E634960"/>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02C8C"/>
    <w:multiLevelType w:val="multilevel"/>
    <w:tmpl w:val="43F471F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180403"/>
    <w:multiLevelType w:val="multilevel"/>
    <w:tmpl w:val="B6383408"/>
    <w:lvl w:ilvl="0">
      <w:start w:val="1"/>
      <w:numFmt w:val="decimal"/>
      <w:lvlText w:val="%1."/>
      <w:lvlJc w:val="left"/>
      <w:pPr>
        <w:ind w:left="720" w:hanging="360"/>
      </w:pPr>
      <w:rPr>
        <w:i w:val="0"/>
        <w:iCs w:val="0"/>
      </w:rPr>
    </w:lvl>
    <w:lvl w:ilvl="1">
      <w:start w:val="1"/>
      <w:numFmt w:val="decimal"/>
      <w:isLgl/>
      <w:lvlText w:val="%1.%2."/>
      <w:lvlJc w:val="left"/>
      <w:pPr>
        <w:ind w:left="833" w:hanging="360"/>
      </w:pPr>
      <w:rPr>
        <w:rFonts w:hint="default"/>
        <w:b/>
        <w:bCs w:val="0"/>
        <w:i w:val="0"/>
      </w:rPr>
    </w:lvl>
    <w:lvl w:ilvl="2">
      <w:start w:val="1"/>
      <w:numFmt w:val="decimal"/>
      <w:isLgl/>
      <w:lvlText w:val="%1.%2.%3."/>
      <w:lvlJc w:val="left"/>
      <w:pPr>
        <w:ind w:left="1306" w:hanging="720"/>
      </w:pPr>
      <w:rPr>
        <w:rFonts w:hint="default"/>
        <w:i w:val="0"/>
      </w:rPr>
    </w:lvl>
    <w:lvl w:ilvl="3">
      <w:start w:val="1"/>
      <w:numFmt w:val="decimal"/>
      <w:isLgl/>
      <w:lvlText w:val="%1.%2.%3.%4."/>
      <w:lvlJc w:val="left"/>
      <w:pPr>
        <w:ind w:left="1419" w:hanging="720"/>
      </w:pPr>
      <w:rPr>
        <w:rFonts w:hint="default"/>
        <w:i w:val="0"/>
      </w:rPr>
    </w:lvl>
    <w:lvl w:ilvl="4">
      <w:start w:val="1"/>
      <w:numFmt w:val="decimal"/>
      <w:isLgl/>
      <w:lvlText w:val="%1.%2.%3.%4.%5."/>
      <w:lvlJc w:val="left"/>
      <w:pPr>
        <w:ind w:left="1892" w:hanging="1080"/>
      </w:pPr>
      <w:rPr>
        <w:rFonts w:hint="default"/>
        <w:i w:val="0"/>
      </w:rPr>
    </w:lvl>
    <w:lvl w:ilvl="5">
      <w:start w:val="1"/>
      <w:numFmt w:val="decimal"/>
      <w:isLgl/>
      <w:lvlText w:val="%1.%2.%3.%4.%5.%6."/>
      <w:lvlJc w:val="left"/>
      <w:pPr>
        <w:ind w:left="2005" w:hanging="1080"/>
      </w:pPr>
      <w:rPr>
        <w:rFonts w:hint="default"/>
        <w:i w:val="0"/>
      </w:rPr>
    </w:lvl>
    <w:lvl w:ilvl="6">
      <w:start w:val="1"/>
      <w:numFmt w:val="decimal"/>
      <w:isLgl/>
      <w:lvlText w:val="%1.%2.%3.%4.%5.%6.%7."/>
      <w:lvlJc w:val="left"/>
      <w:pPr>
        <w:ind w:left="2478" w:hanging="1440"/>
      </w:pPr>
      <w:rPr>
        <w:rFonts w:hint="default"/>
        <w:i w:val="0"/>
      </w:rPr>
    </w:lvl>
    <w:lvl w:ilvl="7">
      <w:start w:val="1"/>
      <w:numFmt w:val="decimal"/>
      <w:isLgl/>
      <w:lvlText w:val="%1.%2.%3.%4.%5.%6.%7.%8."/>
      <w:lvlJc w:val="left"/>
      <w:pPr>
        <w:ind w:left="2591" w:hanging="1440"/>
      </w:pPr>
      <w:rPr>
        <w:rFonts w:hint="default"/>
        <w:i w:val="0"/>
      </w:rPr>
    </w:lvl>
    <w:lvl w:ilvl="8">
      <w:start w:val="1"/>
      <w:numFmt w:val="decimal"/>
      <w:isLgl/>
      <w:lvlText w:val="%1.%2.%3.%4.%5.%6.%7.%8.%9."/>
      <w:lvlJc w:val="left"/>
      <w:pPr>
        <w:ind w:left="3064" w:hanging="1800"/>
      </w:pPr>
      <w:rPr>
        <w:rFonts w:hint="default"/>
        <w:i w:val="0"/>
      </w:rPr>
    </w:lvl>
  </w:abstractNum>
  <w:abstractNum w:abstractNumId="17" w15:restartNumberingAfterBreak="0">
    <w:nsid w:val="67F74312"/>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1512C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32469"/>
    <w:multiLevelType w:val="hybridMultilevel"/>
    <w:tmpl w:val="224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EE7186"/>
    <w:multiLevelType w:val="multilevel"/>
    <w:tmpl w:val="15769E6E"/>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B46A1"/>
    <w:multiLevelType w:val="hybridMultilevel"/>
    <w:tmpl w:val="C8F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8C381E"/>
    <w:multiLevelType w:val="multilevel"/>
    <w:tmpl w:val="3CE6A1A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0"/>
  </w:num>
  <w:num w:numId="3">
    <w:abstractNumId w:val="2"/>
  </w:num>
  <w:num w:numId="4">
    <w:abstractNumId w:val="5"/>
  </w:num>
  <w:num w:numId="5">
    <w:abstractNumId w:val="7"/>
  </w:num>
  <w:num w:numId="6">
    <w:abstractNumId w:val="18"/>
  </w:num>
  <w:num w:numId="7">
    <w:abstractNumId w:val="6"/>
  </w:num>
  <w:num w:numId="8">
    <w:abstractNumId w:val="19"/>
  </w:num>
  <w:num w:numId="9">
    <w:abstractNumId w:val="14"/>
  </w:num>
  <w:num w:numId="10">
    <w:abstractNumId w:val="12"/>
  </w:num>
  <w:num w:numId="11">
    <w:abstractNumId w:val="15"/>
  </w:num>
  <w:num w:numId="12">
    <w:abstractNumId w:val="21"/>
  </w:num>
  <w:num w:numId="13">
    <w:abstractNumId w:val="4"/>
  </w:num>
  <w:num w:numId="14">
    <w:abstractNumId w:val="17"/>
  </w:num>
  <w:num w:numId="15">
    <w:abstractNumId w:val="3"/>
  </w:num>
  <w:num w:numId="16">
    <w:abstractNumId w:val="10"/>
  </w:num>
  <w:num w:numId="17">
    <w:abstractNumId w:val="16"/>
  </w:num>
  <w:num w:numId="18">
    <w:abstractNumId w:val="0"/>
  </w:num>
  <w:num w:numId="19">
    <w:abstractNumId w:val="11"/>
  </w:num>
  <w:num w:numId="20">
    <w:abstractNumId w:val="13"/>
  </w:num>
  <w:num w:numId="21">
    <w:abstractNumId w:val="8"/>
  </w:num>
  <w:num w:numId="22">
    <w:abstractNumId w:val="1"/>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1BC1"/>
    <w:rsid w:val="0000277E"/>
    <w:rsid w:val="00002BD5"/>
    <w:rsid w:val="00002E9F"/>
    <w:rsid w:val="0000439B"/>
    <w:rsid w:val="00006760"/>
    <w:rsid w:val="00007EF4"/>
    <w:rsid w:val="00010BBD"/>
    <w:rsid w:val="00011C7D"/>
    <w:rsid w:val="00013C77"/>
    <w:rsid w:val="0001553B"/>
    <w:rsid w:val="000157AA"/>
    <w:rsid w:val="00015FFD"/>
    <w:rsid w:val="0001628C"/>
    <w:rsid w:val="00017745"/>
    <w:rsid w:val="00017977"/>
    <w:rsid w:val="00017DE0"/>
    <w:rsid w:val="00020E63"/>
    <w:rsid w:val="00021996"/>
    <w:rsid w:val="000240A6"/>
    <w:rsid w:val="00024482"/>
    <w:rsid w:val="00024BC5"/>
    <w:rsid w:val="00025885"/>
    <w:rsid w:val="00027AF7"/>
    <w:rsid w:val="00030D24"/>
    <w:rsid w:val="0003109D"/>
    <w:rsid w:val="00031250"/>
    <w:rsid w:val="000331B8"/>
    <w:rsid w:val="00033FA9"/>
    <w:rsid w:val="00033FF8"/>
    <w:rsid w:val="00034F53"/>
    <w:rsid w:val="00035014"/>
    <w:rsid w:val="00035660"/>
    <w:rsid w:val="00036F9D"/>
    <w:rsid w:val="00036FE7"/>
    <w:rsid w:val="00037F9E"/>
    <w:rsid w:val="000411CF"/>
    <w:rsid w:val="00043016"/>
    <w:rsid w:val="00047AEC"/>
    <w:rsid w:val="00050070"/>
    <w:rsid w:val="00051217"/>
    <w:rsid w:val="00052926"/>
    <w:rsid w:val="00053AE1"/>
    <w:rsid w:val="00055F48"/>
    <w:rsid w:val="00061499"/>
    <w:rsid w:val="00062D25"/>
    <w:rsid w:val="00063614"/>
    <w:rsid w:val="00063C77"/>
    <w:rsid w:val="00065833"/>
    <w:rsid w:val="00065E1B"/>
    <w:rsid w:val="00066E15"/>
    <w:rsid w:val="00067D37"/>
    <w:rsid w:val="00071E81"/>
    <w:rsid w:val="00071F3B"/>
    <w:rsid w:val="0007203D"/>
    <w:rsid w:val="00073707"/>
    <w:rsid w:val="000745D6"/>
    <w:rsid w:val="00074F38"/>
    <w:rsid w:val="00076C6A"/>
    <w:rsid w:val="0008176C"/>
    <w:rsid w:val="000817A6"/>
    <w:rsid w:val="000828F3"/>
    <w:rsid w:val="00082AEB"/>
    <w:rsid w:val="0008454D"/>
    <w:rsid w:val="0008505B"/>
    <w:rsid w:val="000857E0"/>
    <w:rsid w:val="000876AC"/>
    <w:rsid w:val="00087A43"/>
    <w:rsid w:val="00090CF2"/>
    <w:rsid w:val="000910AC"/>
    <w:rsid w:val="0009273D"/>
    <w:rsid w:val="000960EF"/>
    <w:rsid w:val="0009709C"/>
    <w:rsid w:val="00097C18"/>
    <w:rsid w:val="000A095B"/>
    <w:rsid w:val="000A1546"/>
    <w:rsid w:val="000A1C8F"/>
    <w:rsid w:val="000A3925"/>
    <w:rsid w:val="000A6A23"/>
    <w:rsid w:val="000B058F"/>
    <w:rsid w:val="000B0F21"/>
    <w:rsid w:val="000B1213"/>
    <w:rsid w:val="000B1FE2"/>
    <w:rsid w:val="000B3319"/>
    <w:rsid w:val="000B4B78"/>
    <w:rsid w:val="000B5FEA"/>
    <w:rsid w:val="000B6865"/>
    <w:rsid w:val="000B7718"/>
    <w:rsid w:val="000C095D"/>
    <w:rsid w:val="000C0B34"/>
    <w:rsid w:val="000C19F3"/>
    <w:rsid w:val="000C3C4D"/>
    <w:rsid w:val="000C58C5"/>
    <w:rsid w:val="000C5AD8"/>
    <w:rsid w:val="000C6F7A"/>
    <w:rsid w:val="000C7B77"/>
    <w:rsid w:val="000D1021"/>
    <w:rsid w:val="000D1339"/>
    <w:rsid w:val="000D1931"/>
    <w:rsid w:val="000D27AF"/>
    <w:rsid w:val="000D4E13"/>
    <w:rsid w:val="000D52C8"/>
    <w:rsid w:val="000D5D37"/>
    <w:rsid w:val="000D6BE3"/>
    <w:rsid w:val="000D76DF"/>
    <w:rsid w:val="000E010B"/>
    <w:rsid w:val="000E0823"/>
    <w:rsid w:val="000E0906"/>
    <w:rsid w:val="000E2B0A"/>
    <w:rsid w:val="000E34BF"/>
    <w:rsid w:val="000E40DE"/>
    <w:rsid w:val="000E46AA"/>
    <w:rsid w:val="000E5B27"/>
    <w:rsid w:val="000E6FE4"/>
    <w:rsid w:val="000E7E6D"/>
    <w:rsid w:val="000F01F7"/>
    <w:rsid w:val="000F148E"/>
    <w:rsid w:val="000F20F2"/>
    <w:rsid w:val="000F2D6F"/>
    <w:rsid w:val="000F4069"/>
    <w:rsid w:val="000F4A0F"/>
    <w:rsid w:val="000F571E"/>
    <w:rsid w:val="000F57CC"/>
    <w:rsid w:val="000F5B7E"/>
    <w:rsid w:val="000F5D8F"/>
    <w:rsid w:val="000F6094"/>
    <w:rsid w:val="000F7587"/>
    <w:rsid w:val="00101375"/>
    <w:rsid w:val="00101713"/>
    <w:rsid w:val="001017E2"/>
    <w:rsid w:val="0010271B"/>
    <w:rsid w:val="001027CD"/>
    <w:rsid w:val="0010674F"/>
    <w:rsid w:val="001067DF"/>
    <w:rsid w:val="00111044"/>
    <w:rsid w:val="00111329"/>
    <w:rsid w:val="00112BD9"/>
    <w:rsid w:val="001166C2"/>
    <w:rsid w:val="001174E6"/>
    <w:rsid w:val="001179F7"/>
    <w:rsid w:val="001236A4"/>
    <w:rsid w:val="001237AD"/>
    <w:rsid w:val="00125CAF"/>
    <w:rsid w:val="00126155"/>
    <w:rsid w:val="0012746A"/>
    <w:rsid w:val="00130619"/>
    <w:rsid w:val="001313C4"/>
    <w:rsid w:val="001315FC"/>
    <w:rsid w:val="00132680"/>
    <w:rsid w:val="0013434A"/>
    <w:rsid w:val="00134536"/>
    <w:rsid w:val="00135131"/>
    <w:rsid w:val="0013597D"/>
    <w:rsid w:val="0013668E"/>
    <w:rsid w:val="00141D4F"/>
    <w:rsid w:val="00143378"/>
    <w:rsid w:val="0014345F"/>
    <w:rsid w:val="00145B7F"/>
    <w:rsid w:val="00146073"/>
    <w:rsid w:val="00146163"/>
    <w:rsid w:val="0014684A"/>
    <w:rsid w:val="001514B2"/>
    <w:rsid w:val="001514E9"/>
    <w:rsid w:val="00153621"/>
    <w:rsid w:val="001539E1"/>
    <w:rsid w:val="001552E6"/>
    <w:rsid w:val="00155E42"/>
    <w:rsid w:val="00156683"/>
    <w:rsid w:val="00157E6D"/>
    <w:rsid w:val="00160F2A"/>
    <w:rsid w:val="0016104D"/>
    <w:rsid w:val="001611DC"/>
    <w:rsid w:val="00162553"/>
    <w:rsid w:val="001634E2"/>
    <w:rsid w:val="00163BE0"/>
    <w:rsid w:val="00164CE3"/>
    <w:rsid w:val="00164D16"/>
    <w:rsid w:val="00165B85"/>
    <w:rsid w:val="0016619A"/>
    <w:rsid w:val="00166A28"/>
    <w:rsid w:val="00167278"/>
    <w:rsid w:val="00170F05"/>
    <w:rsid w:val="00172374"/>
    <w:rsid w:val="001743EE"/>
    <w:rsid w:val="00174519"/>
    <w:rsid w:val="00174B4A"/>
    <w:rsid w:val="00181612"/>
    <w:rsid w:val="00181C89"/>
    <w:rsid w:val="0018228E"/>
    <w:rsid w:val="001838EB"/>
    <w:rsid w:val="0018581E"/>
    <w:rsid w:val="00185859"/>
    <w:rsid w:val="00186C0A"/>
    <w:rsid w:val="00187190"/>
    <w:rsid w:val="001874CE"/>
    <w:rsid w:val="001876CD"/>
    <w:rsid w:val="001878AB"/>
    <w:rsid w:val="001903FC"/>
    <w:rsid w:val="00190625"/>
    <w:rsid w:val="0019082C"/>
    <w:rsid w:val="00190CB9"/>
    <w:rsid w:val="00190F63"/>
    <w:rsid w:val="001910AD"/>
    <w:rsid w:val="00191E58"/>
    <w:rsid w:val="0019260C"/>
    <w:rsid w:val="001930ED"/>
    <w:rsid w:val="00193F28"/>
    <w:rsid w:val="001946EA"/>
    <w:rsid w:val="00194759"/>
    <w:rsid w:val="00195141"/>
    <w:rsid w:val="00195810"/>
    <w:rsid w:val="00196D4D"/>
    <w:rsid w:val="001A024F"/>
    <w:rsid w:val="001A06DB"/>
    <w:rsid w:val="001A074B"/>
    <w:rsid w:val="001A096D"/>
    <w:rsid w:val="001A1A08"/>
    <w:rsid w:val="001A2811"/>
    <w:rsid w:val="001A31C6"/>
    <w:rsid w:val="001A3200"/>
    <w:rsid w:val="001A3872"/>
    <w:rsid w:val="001A53E7"/>
    <w:rsid w:val="001A63EB"/>
    <w:rsid w:val="001A64B6"/>
    <w:rsid w:val="001A675A"/>
    <w:rsid w:val="001A6B91"/>
    <w:rsid w:val="001A70AA"/>
    <w:rsid w:val="001A791C"/>
    <w:rsid w:val="001B175B"/>
    <w:rsid w:val="001B1F02"/>
    <w:rsid w:val="001B70E8"/>
    <w:rsid w:val="001C0D5C"/>
    <w:rsid w:val="001C3E2A"/>
    <w:rsid w:val="001C5F4B"/>
    <w:rsid w:val="001C6126"/>
    <w:rsid w:val="001C6674"/>
    <w:rsid w:val="001C7F36"/>
    <w:rsid w:val="001D24BF"/>
    <w:rsid w:val="001D5CFA"/>
    <w:rsid w:val="001D70FB"/>
    <w:rsid w:val="001E0AD9"/>
    <w:rsid w:val="001E134F"/>
    <w:rsid w:val="001E355D"/>
    <w:rsid w:val="001E4928"/>
    <w:rsid w:val="001E4F97"/>
    <w:rsid w:val="001E5DF2"/>
    <w:rsid w:val="001E6041"/>
    <w:rsid w:val="001E60F8"/>
    <w:rsid w:val="001E6425"/>
    <w:rsid w:val="001E72F0"/>
    <w:rsid w:val="001E7ADD"/>
    <w:rsid w:val="001F0748"/>
    <w:rsid w:val="001F0ABC"/>
    <w:rsid w:val="001F12AF"/>
    <w:rsid w:val="001F235E"/>
    <w:rsid w:val="001F2512"/>
    <w:rsid w:val="001F50AE"/>
    <w:rsid w:val="001F6400"/>
    <w:rsid w:val="001F6464"/>
    <w:rsid w:val="001F6E09"/>
    <w:rsid w:val="001F7759"/>
    <w:rsid w:val="00200DC2"/>
    <w:rsid w:val="002026FE"/>
    <w:rsid w:val="00203CB1"/>
    <w:rsid w:val="0020551E"/>
    <w:rsid w:val="0020766E"/>
    <w:rsid w:val="002101D4"/>
    <w:rsid w:val="00210239"/>
    <w:rsid w:val="0021196F"/>
    <w:rsid w:val="002119FF"/>
    <w:rsid w:val="00211B92"/>
    <w:rsid w:val="00214BE0"/>
    <w:rsid w:val="00214DCB"/>
    <w:rsid w:val="00216852"/>
    <w:rsid w:val="00216B87"/>
    <w:rsid w:val="002235FD"/>
    <w:rsid w:val="00223D82"/>
    <w:rsid w:val="00224346"/>
    <w:rsid w:val="002249AB"/>
    <w:rsid w:val="00224D1B"/>
    <w:rsid w:val="0022586A"/>
    <w:rsid w:val="002309DF"/>
    <w:rsid w:val="00230E8F"/>
    <w:rsid w:val="00236451"/>
    <w:rsid w:val="002424AA"/>
    <w:rsid w:val="002432C9"/>
    <w:rsid w:val="00243C51"/>
    <w:rsid w:val="002445DA"/>
    <w:rsid w:val="002447DB"/>
    <w:rsid w:val="00245C08"/>
    <w:rsid w:val="0024648E"/>
    <w:rsid w:val="00246E5C"/>
    <w:rsid w:val="00250087"/>
    <w:rsid w:val="002502DA"/>
    <w:rsid w:val="00250753"/>
    <w:rsid w:val="00250971"/>
    <w:rsid w:val="002512C8"/>
    <w:rsid w:val="002520E7"/>
    <w:rsid w:val="0025211B"/>
    <w:rsid w:val="00252763"/>
    <w:rsid w:val="00254BB5"/>
    <w:rsid w:val="00255DB5"/>
    <w:rsid w:val="00256664"/>
    <w:rsid w:val="0026185D"/>
    <w:rsid w:val="00263321"/>
    <w:rsid w:val="002636FD"/>
    <w:rsid w:val="00264266"/>
    <w:rsid w:val="0026481A"/>
    <w:rsid w:val="00264F28"/>
    <w:rsid w:val="00270DE8"/>
    <w:rsid w:val="00271241"/>
    <w:rsid w:val="00271DC9"/>
    <w:rsid w:val="00274C05"/>
    <w:rsid w:val="00275EC9"/>
    <w:rsid w:val="00276F6D"/>
    <w:rsid w:val="00280DB8"/>
    <w:rsid w:val="00281521"/>
    <w:rsid w:val="00283683"/>
    <w:rsid w:val="002836A5"/>
    <w:rsid w:val="00283D23"/>
    <w:rsid w:val="0028475A"/>
    <w:rsid w:val="00285849"/>
    <w:rsid w:val="00286B27"/>
    <w:rsid w:val="00287501"/>
    <w:rsid w:val="00291263"/>
    <w:rsid w:val="0029389D"/>
    <w:rsid w:val="00293C9E"/>
    <w:rsid w:val="002961FF"/>
    <w:rsid w:val="002964DF"/>
    <w:rsid w:val="002969B8"/>
    <w:rsid w:val="00297179"/>
    <w:rsid w:val="002A0491"/>
    <w:rsid w:val="002A1373"/>
    <w:rsid w:val="002A258A"/>
    <w:rsid w:val="002A3403"/>
    <w:rsid w:val="002A340A"/>
    <w:rsid w:val="002A4739"/>
    <w:rsid w:val="002A6CB5"/>
    <w:rsid w:val="002A7081"/>
    <w:rsid w:val="002A7507"/>
    <w:rsid w:val="002A7A72"/>
    <w:rsid w:val="002B0B21"/>
    <w:rsid w:val="002B0DF1"/>
    <w:rsid w:val="002B31DB"/>
    <w:rsid w:val="002B336E"/>
    <w:rsid w:val="002B3421"/>
    <w:rsid w:val="002B3B94"/>
    <w:rsid w:val="002B5674"/>
    <w:rsid w:val="002B7EFF"/>
    <w:rsid w:val="002C08DF"/>
    <w:rsid w:val="002C11B2"/>
    <w:rsid w:val="002C1ECD"/>
    <w:rsid w:val="002C3C21"/>
    <w:rsid w:val="002C3E01"/>
    <w:rsid w:val="002C41B6"/>
    <w:rsid w:val="002C5F82"/>
    <w:rsid w:val="002C7771"/>
    <w:rsid w:val="002C7D1F"/>
    <w:rsid w:val="002D0DE4"/>
    <w:rsid w:val="002D117E"/>
    <w:rsid w:val="002D1329"/>
    <w:rsid w:val="002D229A"/>
    <w:rsid w:val="002D4BE7"/>
    <w:rsid w:val="002D715D"/>
    <w:rsid w:val="002D7AD3"/>
    <w:rsid w:val="002D7B0C"/>
    <w:rsid w:val="002E07DB"/>
    <w:rsid w:val="002E33A8"/>
    <w:rsid w:val="002E399C"/>
    <w:rsid w:val="002E4504"/>
    <w:rsid w:val="002E45B5"/>
    <w:rsid w:val="002E4F79"/>
    <w:rsid w:val="002E596D"/>
    <w:rsid w:val="002E686A"/>
    <w:rsid w:val="002E7D1B"/>
    <w:rsid w:val="002F2E87"/>
    <w:rsid w:val="002F3BB2"/>
    <w:rsid w:val="002F588C"/>
    <w:rsid w:val="002F5D3A"/>
    <w:rsid w:val="002F65D7"/>
    <w:rsid w:val="0030006A"/>
    <w:rsid w:val="00300C8E"/>
    <w:rsid w:val="003015BE"/>
    <w:rsid w:val="00301E50"/>
    <w:rsid w:val="003029C3"/>
    <w:rsid w:val="00304917"/>
    <w:rsid w:val="00304948"/>
    <w:rsid w:val="00305D26"/>
    <w:rsid w:val="00307291"/>
    <w:rsid w:val="00307FC6"/>
    <w:rsid w:val="00310373"/>
    <w:rsid w:val="00310DBD"/>
    <w:rsid w:val="00310E2C"/>
    <w:rsid w:val="0031246A"/>
    <w:rsid w:val="00315DB8"/>
    <w:rsid w:val="00316796"/>
    <w:rsid w:val="00317984"/>
    <w:rsid w:val="00317C9C"/>
    <w:rsid w:val="00317E85"/>
    <w:rsid w:val="003206A7"/>
    <w:rsid w:val="003212ED"/>
    <w:rsid w:val="0032131C"/>
    <w:rsid w:val="0032433F"/>
    <w:rsid w:val="00324BB0"/>
    <w:rsid w:val="003256C5"/>
    <w:rsid w:val="00325C49"/>
    <w:rsid w:val="00326A6F"/>
    <w:rsid w:val="00330569"/>
    <w:rsid w:val="00331387"/>
    <w:rsid w:val="00331A29"/>
    <w:rsid w:val="00331C88"/>
    <w:rsid w:val="003338D8"/>
    <w:rsid w:val="00333CAA"/>
    <w:rsid w:val="003369D6"/>
    <w:rsid w:val="003371A4"/>
    <w:rsid w:val="0033720B"/>
    <w:rsid w:val="00340205"/>
    <w:rsid w:val="00347CD8"/>
    <w:rsid w:val="00350507"/>
    <w:rsid w:val="00350B95"/>
    <w:rsid w:val="00351BC8"/>
    <w:rsid w:val="00352177"/>
    <w:rsid w:val="003545B5"/>
    <w:rsid w:val="003564CA"/>
    <w:rsid w:val="003567D6"/>
    <w:rsid w:val="0035769A"/>
    <w:rsid w:val="00357774"/>
    <w:rsid w:val="00360025"/>
    <w:rsid w:val="00362082"/>
    <w:rsid w:val="003627D7"/>
    <w:rsid w:val="003642F9"/>
    <w:rsid w:val="003654BE"/>
    <w:rsid w:val="0036601E"/>
    <w:rsid w:val="00366518"/>
    <w:rsid w:val="00375A18"/>
    <w:rsid w:val="00381F20"/>
    <w:rsid w:val="00384692"/>
    <w:rsid w:val="00385C60"/>
    <w:rsid w:val="00386221"/>
    <w:rsid w:val="003869AB"/>
    <w:rsid w:val="00386CAE"/>
    <w:rsid w:val="003907C3"/>
    <w:rsid w:val="00393418"/>
    <w:rsid w:val="003943DF"/>
    <w:rsid w:val="003944DB"/>
    <w:rsid w:val="00395261"/>
    <w:rsid w:val="00395482"/>
    <w:rsid w:val="003973D9"/>
    <w:rsid w:val="00397807"/>
    <w:rsid w:val="00397DE1"/>
    <w:rsid w:val="003A0166"/>
    <w:rsid w:val="003A0207"/>
    <w:rsid w:val="003A08D7"/>
    <w:rsid w:val="003A0D8E"/>
    <w:rsid w:val="003A169D"/>
    <w:rsid w:val="003A1C03"/>
    <w:rsid w:val="003A3C3B"/>
    <w:rsid w:val="003A471F"/>
    <w:rsid w:val="003A6D46"/>
    <w:rsid w:val="003A6EF3"/>
    <w:rsid w:val="003B184D"/>
    <w:rsid w:val="003B3660"/>
    <w:rsid w:val="003B4361"/>
    <w:rsid w:val="003B4AC6"/>
    <w:rsid w:val="003B57C1"/>
    <w:rsid w:val="003B6F9F"/>
    <w:rsid w:val="003C0480"/>
    <w:rsid w:val="003C057E"/>
    <w:rsid w:val="003C1C5C"/>
    <w:rsid w:val="003C42E0"/>
    <w:rsid w:val="003C496F"/>
    <w:rsid w:val="003C55BD"/>
    <w:rsid w:val="003C7102"/>
    <w:rsid w:val="003D0BA6"/>
    <w:rsid w:val="003D190D"/>
    <w:rsid w:val="003D4982"/>
    <w:rsid w:val="003D4C54"/>
    <w:rsid w:val="003D65D5"/>
    <w:rsid w:val="003D70E2"/>
    <w:rsid w:val="003E1D4F"/>
    <w:rsid w:val="003E32ED"/>
    <w:rsid w:val="003E6283"/>
    <w:rsid w:val="003E6E55"/>
    <w:rsid w:val="003E78CB"/>
    <w:rsid w:val="003F0E85"/>
    <w:rsid w:val="003F2E70"/>
    <w:rsid w:val="003F4781"/>
    <w:rsid w:val="003F489F"/>
    <w:rsid w:val="003F4C7C"/>
    <w:rsid w:val="003F72D0"/>
    <w:rsid w:val="00404004"/>
    <w:rsid w:val="00404C6A"/>
    <w:rsid w:val="00407F3B"/>
    <w:rsid w:val="00412144"/>
    <w:rsid w:val="00413DC6"/>
    <w:rsid w:val="00413E3C"/>
    <w:rsid w:val="00416214"/>
    <w:rsid w:val="004173E7"/>
    <w:rsid w:val="004201BB"/>
    <w:rsid w:val="00420C52"/>
    <w:rsid w:val="00425363"/>
    <w:rsid w:val="00426282"/>
    <w:rsid w:val="00426408"/>
    <w:rsid w:val="00427294"/>
    <w:rsid w:val="00430800"/>
    <w:rsid w:val="004316B6"/>
    <w:rsid w:val="004377DB"/>
    <w:rsid w:val="00437FC3"/>
    <w:rsid w:val="0044085E"/>
    <w:rsid w:val="00441450"/>
    <w:rsid w:val="004415B7"/>
    <w:rsid w:val="004426BD"/>
    <w:rsid w:val="004443C9"/>
    <w:rsid w:val="00446DBB"/>
    <w:rsid w:val="004507DA"/>
    <w:rsid w:val="004516BF"/>
    <w:rsid w:val="00451C03"/>
    <w:rsid w:val="00451F2B"/>
    <w:rsid w:val="00452237"/>
    <w:rsid w:val="0045247E"/>
    <w:rsid w:val="00452868"/>
    <w:rsid w:val="00453035"/>
    <w:rsid w:val="00454131"/>
    <w:rsid w:val="00454C50"/>
    <w:rsid w:val="00455BC9"/>
    <w:rsid w:val="00456C87"/>
    <w:rsid w:val="00457253"/>
    <w:rsid w:val="0045734A"/>
    <w:rsid w:val="00460CE3"/>
    <w:rsid w:val="004619BC"/>
    <w:rsid w:val="00463382"/>
    <w:rsid w:val="00463E89"/>
    <w:rsid w:val="00464DDD"/>
    <w:rsid w:val="004653BD"/>
    <w:rsid w:val="00467262"/>
    <w:rsid w:val="004674ED"/>
    <w:rsid w:val="00470459"/>
    <w:rsid w:val="00471D3A"/>
    <w:rsid w:val="00472086"/>
    <w:rsid w:val="0047256A"/>
    <w:rsid w:val="0047436C"/>
    <w:rsid w:val="004747DB"/>
    <w:rsid w:val="00475D49"/>
    <w:rsid w:val="00475F6F"/>
    <w:rsid w:val="00476092"/>
    <w:rsid w:val="00476D8F"/>
    <w:rsid w:val="004800E5"/>
    <w:rsid w:val="0048085C"/>
    <w:rsid w:val="00480FA7"/>
    <w:rsid w:val="00482CAB"/>
    <w:rsid w:val="00484E73"/>
    <w:rsid w:val="00486DA1"/>
    <w:rsid w:val="00486FAE"/>
    <w:rsid w:val="00487770"/>
    <w:rsid w:val="004905C0"/>
    <w:rsid w:val="004930BA"/>
    <w:rsid w:val="0049671B"/>
    <w:rsid w:val="004A0115"/>
    <w:rsid w:val="004A1CFB"/>
    <w:rsid w:val="004A2550"/>
    <w:rsid w:val="004A4BF3"/>
    <w:rsid w:val="004A7162"/>
    <w:rsid w:val="004A7456"/>
    <w:rsid w:val="004B27EC"/>
    <w:rsid w:val="004B2FBC"/>
    <w:rsid w:val="004B32A5"/>
    <w:rsid w:val="004B3D56"/>
    <w:rsid w:val="004B621F"/>
    <w:rsid w:val="004B715A"/>
    <w:rsid w:val="004B7628"/>
    <w:rsid w:val="004B7935"/>
    <w:rsid w:val="004C1517"/>
    <w:rsid w:val="004C18E4"/>
    <w:rsid w:val="004C2815"/>
    <w:rsid w:val="004C333C"/>
    <w:rsid w:val="004C52BF"/>
    <w:rsid w:val="004C532F"/>
    <w:rsid w:val="004C58CF"/>
    <w:rsid w:val="004C7657"/>
    <w:rsid w:val="004D06E8"/>
    <w:rsid w:val="004D16E3"/>
    <w:rsid w:val="004D3989"/>
    <w:rsid w:val="004D3DA1"/>
    <w:rsid w:val="004D56E3"/>
    <w:rsid w:val="004D5FD1"/>
    <w:rsid w:val="004D7803"/>
    <w:rsid w:val="004E003B"/>
    <w:rsid w:val="004E2390"/>
    <w:rsid w:val="004E3967"/>
    <w:rsid w:val="004E3D43"/>
    <w:rsid w:val="004E40B2"/>
    <w:rsid w:val="004E67F5"/>
    <w:rsid w:val="004E6BF5"/>
    <w:rsid w:val="004E7D82"/>
    <w:rsid w:val="004F0BC8"/>
    <w:rsid w:val="004F2A95"/>
    <w:rsid w:val="004F3EE9"/>
    <w:rsid w:val="004F663E"/>
    <w:rsid w:val="004F6C1A"/>
    <w:rsid w:val="00501AA2"/>
    <w:rsid w:val="00503556"/>
    <w:rsid w:val="0050380A"/>
    <w:rsid w:val="00503B76"/>
    <w:rsid w:val="00504455"/>
    <w:rsid w:val="00506F60"/>
    <w:rsid w:val="0051186B"/>
    <w:rsid w:val="00511C17"/>
    <w:rsid w:val="00512B90"/>
    <w:rsid w:val="00513E7B"/>
    <w:rsid w:val="00514079"/>
    <w:rsid w:val="00514528"/>
    <w:rsid w:val="00514FAE"/>
    <w:rsid w:val="005165AC"/>
    <w:rsid w:val="00516B47"/>
    <w:rsid w:val="005200D2"/>
    <w:rsid w:val="00520473"/>
    <w:rsid w:val="0052076D"/>
    <w:rsid w:val="00523C8D"/>
    <w:rsid w:val="00524D43"/>
    <w:rsid w:val="00524E06"/>
    <w:rsid w:val="00526016"/>
    <w:rsid w:val="00526964"/>
    <w:rsid w:val="00527722"/>
    <w:rsid w:val="00530786"/>
    <w:rsid w:val="00532D35"/>
    <w:rsid w:val="005334DD"/>
    <w:rsid w:val="005338FA"/>
    <w:rsid w:val="00537565"/>
    <w:rsid w:val="005404AA"/>
    <w:rsid w:val="0054085A"/>
    <w:rsid w:val="00540C7F"/>
    <w:rsid w:val="0054126C"/>
    <w:rsid w:val="005419DB"/>
    <w:rsid w:val="00541ACE"/>
    <w:rsid w:val="005420C3"/>
    <w:rsid w:val="005432A3"/>
    <w:rsid w:val="005433BD"/>
    <w:rsid w:val="005443C5"/>
    <w:rsid w:val="00544737"/>
    <w:rsid w:val="00544AA0"/>
    <w:rsid w:val="00544BDC"/>
    <w:rsid w:val="00544F62"/>
    <w:rsid w:val="005470E3"/>
    <w:rsid w:val="00547B43"/>
    <w:rsid w:val="00547D88"/>
    <w:rsid w:val="00553A49"/>
    <w:rsid w:val="00554234"/>
    <w:rsid w:val="00554BF2"/>
    <w:rsid w:val="00555544"/>
    <w:rsid w:val="00556178"/>
    <w:rsid w:val="00557ABE"/>
    <w:rsid w:val="005606AB"/>
    <w:rsid w:val="00562506"/>
    <w:rsid w:val="00563054"/>
    <w:rsid w:val="005636C2"/>
    <w:rsid w:val="00563928"/>
    <w:rsid w:val="005639A3"/>
    <w:rsid w:val="00564A5C"/>
    <w:rsid w:val="005657A5"/>
    <w:rsid w:val="00571542"/>
    <w:rsid w:val="00571B8D"/>
    <w:rsid w:val="00574E0D"/>
    <w:rsid w:val="00575637"/>
    <w:rsid w:val="0057581C"/>
    <w:rsid w:val="00575F66"/>
    <w:rsid w:val="005801A8"/>
    <w:rsid w:val="00581606"/>
    <w:rsid w:val="00586033"/>
    <w:rsid w:val="005861E4"/>
    <w:rsid w:val="00586A75"/>
    <w:rsid w:val="00586F4F"/>
    <w:rsid w:val="00590477"/>
    <w:rsid w:val="00590763"/>
    <w:rsid w:val="005915ED"/>
    <w:rsid w:val="005938B8"/>
    <w:rsid w:val="005945D0"/>
    <w:rsid w:val="00596239"/>
    <w:rsid w:val="0059701E"/>
    <w:rsid w:val="005A1D9D"/>
    <w:rsid w:val="005A3293"/>
    <w:rsid w:val="005A382E"/>
    <w:rsid w:val="005A4BA4"/>
    <w:rsid w:val="005A5161"/>
    <w:rsid w:val="005A518B"/>
    <w:rsid w:val="005A5501"/>
    <w:rsid w:val="005A6B68"/>
    <w:rsid w:val="005A7528"/>
    <w:rsid w:val="005A7BE2"/>
    <w:rsid w:val="005B3A43"/>
    <w:rsid w:val="005B3BEF"/>
    <w:rsid w:val="005B5016"/>
    <w:rsid w:val="005B61D6"/>
    <w:rsid w:val="005C191F"/>
    <w:rsid w:val="005C554B"/>
    <w:rsid w:val="005C7C1D"/>
    <w:rsid w:val="005D0A0B"/>
    <w:rsid w:val="005D1B96"/>
    <w:rsid w:val="005D2474"/>
    <w:rsid w:val="005D24E3"/>
    <w:rsid w:val="005D251E"/>
    <w:rsid w:val="005D2BDA"/>
    <w:rsid w:val="005D395B"/>
    <w:rsid w:val="005D3DA3"/>
    <w:rsid w:val="005D3F8B"/>
    <w:rsid w:val="005D4C7A"/>
    <w:rsid w:val="005D5171"/>
    <w:rsid w:val="005D54D2"/>
    <w:rsid w:val="005D6533"/>
    <w:rsid w:val="005D6AEE"/>
    <w:rsid w:val="005D6DA7"/>
    <w:rsid w:val="005D71F1"/>
    <w:rsid w:val="005D7E0C"/>
    <w:rsid w:val="005E03A1"/>
    <w:rsid w:val="005E1A01"/>
    <w:rsid w:val="005E3A88"/>
    <w:rsid w:val="005E3D8F"/>
    <w:rsid w:val="005E40BA"/>
    <w:rsid w:val="005E4856"/>
    <w:rsid w:val="005E6086"/>
    <w:rsid w:val="005E69FB"/>
    <w:rsid w:val="005E6C0D"/>
    <w:rsid w:val="005E6E47"/>
    <w:rsid w:val="005E71E5"/>
    <w:rsid w:val="005E7275"/>
    <w:rsid w:val="005F1F48"/>
    <w:rsid w:val="005F2895"/>
    <w:rsid w:val="005F3357"/>
    <w:rsid w:val="005F36F2"/>
    <w:rsid w:val="005F3F2D"/>
    <w:rsid w:val="005F73CB"/>
    <w:rsid w:val="005F7761"/>
    <w:rsid w:val="006015F6"/>
    <w:rsid w:val="0060204C"/>
    <w:rsid w:val="006037B5"/>
    <w:rsid w:val="00604DEF"/>
    <w:rsid w:val="00606C66"/>
    <w:rsid w:val="0060780C"/>
    <w:rsid w:val="006154C9"/>
    <w:rsid w:val="006168DD"/>
    <w:rsid w:val="00620872"/>
    <w:rsid w:val="006209B0"/>
    <w:rsid w:val="00621288"/>
    <w:rsid w:val="00621AF2"/>
    <w:rsid w:val="00622CD6"/>
    <w:rsid w:val="006261D2"/>
    <w:rsid w:val="00632DD6"/>
    <w:rsid w:val="0063346B"/>
    <w:rsid w:val="00635C47"/>
    <w:rsid w:val="006364BD"/>
    <w:rsid w:val="00636FFD"/>
    <w:rsid w:val="00640940"/>
    <w:rsid w:val="00640C5A"/>
    <w:rsid w:val="00641D27"/>
    <w:rsid w:val="00641D79"/>
    <w:rsid w:val="006423C9"/>
    <w:rsid w:val="0064491D"/>
    <w:rsid w:val="00644988"/>
    <w:rsid w:val="006455F6"/>
    <w:rsid w:val="006457FB"/>
    <w:rsid w:val="00646CF5"/>
    <w:rsid w:val="0064729E"/>
    <w:rsid w:val="0065068D"/>
    <w:rsid w:val="006530CE"/>
    <w:rsid w:val="00653D40"/>
    <w:rsid w:val="00656AB9"/>
    <w:rsid w:val="00657C8F"/>
    <w:rsid w:val="006620BD"/>
    <w:rsid w:val="006630B2"/>
    <w:rsid w:val="00663C08"/>
    <w:rsid w:val="006640C5"/>
    <w:rsid w:val="0066524E"/>
    <w:rsid w:val="00666CA5"/>
    <w:rsid w:val="00667A56"/>
    <w:rsid w:val="00670140"/>
    <w:rsid w:val="006706F9"/>
    <w:rsid w:val="00672707"/>
    <w:rsid w:val="00673C91"/>
    <w:rsid w:val="00675DB8"/>
    <w:rsid w:val="006769EB"/>
    <w:rsid w:val="00680177"/>
    <w:rsid w:val="00680885"/>
    <w:rsid w:val="00681EFD"/>
    <w:rsid w:val="00682080"/>
    <w:rsid w:val="00682493"/>
    <w:rsid w:val="00682547"/>
    <w:rsid w:val="00683BC0"/>
    <w:rsid w:val="00683FA6"/>
    <w:rsid w:val="006842DD"/>
    <w:rsid w:val="00684D9C"/>
    <w:rsid w:val="00685A27"/>
    <w:rsid w:val="0068651F"/>
    <w:rsid w:val="00687F7B"/>
    <w:rsid w:val="006901D1"/>
    <w:rsid w:val="006918B7"/>
    <w:rsid w:val="0069417E"/>
    <w:rsid w:val="00694227"/>
    <w:rsid w:val="00695EEA"/>
    <w:rsid w:val="00695F0D"/>
    <w:rsid w:val="00696D25"/>
    <w:rsid w:val="00697A6A"/>
    <w:rsid w:val="00697F1A"/>
    <w:rsid w:val="00697F7D"/>
    <w:rsid w:val="006A062D"/>
    <w:rsid w:val="006A06AC"/>
    <w:rsid w:val="006A0D7A"/>
    <w:rsid w:val="006A1F05"/>
    <w:rsid w:val="006A33CA"/>
    <w:rsid w:val="006A6EA1"/>
    <w:rsid w:val="006A70F8"/>
    <w:rsid w:val="006A73D4"/>
    <w:rsid w:val="006B03AA"/>
    <w:rsid w:val="006B0E2C"/>
    <w:rsid w:val="006B133C"/>
    <w:rsid w:val="006B197D"/>
    <w:rsid w:val="006B1EF1"/>
    <w:rsid w:val="006B35C1"/>
    <w:rsid w:val="006B4154"/>
    <w:rsid w:val="006B4D58"/>
    <w:rsid w:val="006B4F62"/>
    <w:rsid w:val="006B6CE7"/>
    <w:rsid w:val="006B74DA"/>
    <w:rsid w:val="006B7B4E"/>
    <w:rsid w:val="006C3D65"/>
    <w:rsid w:val="006C49DA"/>
    <w:rsid w:val="006C4D5D"/>
    <w:rsid w:val="006C50D6"/>
    <w:rsid w:val="006C5141"/>
    <w:rsid w:val="006C6E6C"/>
    <w:rsid w:val="006C7CEF"/>
    <w:rsid w:val="006D169C"/>
    <w:rsid w:val="006D23C2"/>
    <w:rsid w:val="006D274E"/>
    <w:rsid w:val="006D2BC8"/>
    <w:rsid w:val="006D325B"/>
    <w:rsid w:val="006D3406"/>
    <w:rsid w:val="006D3880"/>
    <w:rsid w:val="006D3895"/>
    <w:rsid w:val="006D40FF"/>
    <w:rsid w:val="006D47A1"/>
    <w:rsid w:val="006D4836"/>
    <w:rsid w:val="006D5D3E"/>
    <w:rsid w:val="006D6A96"/>
    <w:rsid w:val="006E4E46"/>
    <w:rsid w:val="006E591D"/>
    <w:rsid w:val="006E5D22"/>
    <w:rsid w:val="006E6B86"/>
    <w:rsid w:val="006E7724"/>
    <w:rsid w:val="006F260A"/>
    <w:rsid w:val="006F2B37"/>
    <w:rsid w:val="006F32EB"/>
    <w:rsid w:val="006F7F43"/>
    <w:rsid w:val="0070264F"/>
    <w:rsid w:val="00702D18"/>
    <w:rsid w:val="00703137"/>
    <w:rsid w:val="00703301"/>
    <w:rsid w:val="00705920"/>
    <w:rsid w:val="007065A2"/>
    <w:rsid w:val="00706821"/>
    <w:rsid w:val="00706AE9"/>
    <w:rsid w:val="00707F77"/>
    <w:rsid w:val="0071046A"/>
    <w:rsid w:val="00710684"/>
    <w:rsid w:val="00711236"/>
    <w:rsid w:val="00714572"/>
    <w:rsid w:val="00715C93"/>
    <w:rsid w:val="007201A8"/>
    <w:rsid w:val="00720922"/>
    <w:rsid w:val="00720E9E"/>
    <w:rsid w:val="00721518"/>
    <w:rsid w:val="00721DF7"/>
    <w:rsid w:val="0072268A"/>
    <w:rsid w:val="00722C9B"/>
    <w:rsid w:val="00723FCF"/>
    <w:rsid w:val="0072522B"/>
    <w:rsid w:val="00725BBE"/>
    <w:rsid w:val="00726EEE"/>
    <w:rsid w:val="007277F8"/>
    <w:rsid w:val="00727C89"/>
    <w:rsid w:val="0073063C"/>
    <w:rsid w:val="0073160C"/>
    <w:rsid w:val="00733175"/>
    <w:rsid w:val="0073324E"/>
    <w:rsid w:val="0073369A"/>
    <w:rsid w:val="00734C92"/>
    <w:rsid w:val="007367D9"/>
    <w:rsid w:val="00740328"/>
    <w:rsid w:val="00741C41"/>
    <w:rsid w:val="00741DD2"/>
    <w:rsid w:val="00742FB0"/>
    <w:rsid w:val="00743448"/>
    <w:rsid w:val="00746075"/>
    <w:rsid w:val="00746E6C"/>
    <w:rsid w:val="00747B12"/>
    <w:rsid w:val="0075010D"/>
    <w:rsid w:val="0075022D"/>
    <w:rsid w:val="00750612"/>
    <w:rsid w:val="007515D1"/>
    <w:rsid w:val="00751F78"/>
    <w:rsid w:val="007527E3"/>
    <w:rsid w:val="00753327"/>
    <w:rsid w:val="0075343A"/>
    <w:rsid w:val="007537BD"/>
    <w:rsid w:val="007546C8"/>
    <w:rsid w:val="00756E94"/>
    <w:rsid w:val="007576BA"/>
    <w:rsid w:val="007601C2"/>
    <w:rsid w:val="00760B0C"/>
    <w:rsid w:val="00760BE8"/>
    <w:rsid w:val="00761C89"/>
    <w:rsid w:val="007622D8"/>
    <w:rsid w:val="0076326B"/>
    <w:rsid w:val="00764086"/>
    <w:rsid w:val="007665F0"/>
    <w:rsid w:val="00766BA0"/>
    <w:rsid w:val="00767AB1"/>
    <w:rsid w:val="0077061B"/>
    <w:rsid w:val="007724B7"/>
    <w:rsid w:val="00772821"/>
    <w:rsid w:val="00772A58"/>
    <w:rsid w:val="00773955"/>
    <w:rsid w:val="00774E6B"/>
    <w:rsid w:val="00775498"/>
    <w:rsid w:val="00775840"/>
    <w:rsid w:val="007765F8"/>
    <w:rsid w:val="0077676A"/>
    <w:rsid w:val="00776C7D"/>
    <w:rsid w:val="00780A8A"/>
    <w:rsid w:val="00783A8D"/>
    <w:rsid w:val="00784993"/>
    <w:rsid w:val="00785167"/>
    <w:rsid w:val="00785A62"/>
    <w:rsid w:val="00785D06"/>
    <w:rsid w:val="0078791F"/>
    <w:rsid w:val="00791D01"/>
    <w:rsid w:val="00791FD6"/>
    <w:rsid w:val="00792484"/>
    <w:rsid w:val="007928AA"/>
    <w:rsid w:val="007A3AE7"/>
    <w:rsid w:val="007A53D5"/>
    <w:rsid w:val="007A6B5E"/>
    <w:rsid w:val="007B036A"/>
    <w:rsid w:val="007B11B4"/>
    <w:rsid w:val="007B1575"/>
    <w:rsid w:val="007B1963"/>
    <w:rsid w:val="007B1DF2"/>
    <w:rsid w:val="007B20CF"/>
    <w:rsid w:val="007B38F4"/>
    <w:rsid w:val="007B470F"/>
    <w:rsid w:val="007B6855"/>
    <w:rsid w:val="007B6C4C"/>
    <w:rsid w:val="007B6D26"/>
    <w:rsid w:val="007B77D2"/>
    <w:rsid w:val="007C2936"/>
    <w:rsid w:val="007C2C49"/>
    <w:rsid w:val="007C6D37"/>
    <w:rsid w:val="007C7514"/>
    <w:rsid w:val="007D068C"/>
    <w:rsid w:val="007D14E1"/>
    <w:rsid w:val="007D3515"/>
    <w:rsid w:val="007D433C"/>
    <w:rsid w:val="007D43CB"/>
    <w:rsid w:val="007D5532"/>
    <w:rsid w:val="007D6E3C"/>
    <w:rsid w:val="007E0B3F"/>
    <w:rsid w:val="007E1220"/>
    <w:rsid w:val="007E53D4"/>
    <w:rsid w:val="007E677C"/>
    <w:rsid w:val="007F009F"/>
    <w:rsid w:val="007F2281"/>
    <w:rsid w:val="007F47DC"/>
    <w:rsid w:val="007F6E25"/>
    <w:rsid w:val="00800327"/>
    <w:rsid w:val="00800DD6"/>
    <w:rsid w:val="00801AEC"/>
    <w:rsid w:val="00801E80"/>
    <w:rsid w:val="00802CDF"/>
    <w:rsid w:val="0080377A"/>
    <w:rsid w:val="00803CFD"/>
    <w:rsid w:val="00803FE0"/>
    <w:rsid w:val="0080570D"/>
    <w:rsid w:val="008059B6"/>
    <w:rsid w:val="00806C94"/>
    <w:rsid w:val="00810AA9"/>
    <w:rsid w:val="00811224"/>
    <w:rsid w:val="0081173A"/>
    <w:rsid w:val="00811BB6"/>
    <w:rsid w:val="00812424"/>
    <w:rsid w:val="00812633"/>
    <w:rsid w:val="00812D02"/>
    <w:rsid w:val="00812FFC"/>
    <w:rsid w:val="0081438C"/>
    <w:rsid w:val="00815368"/>
    <w:rsid w:val="008158F5"/>
    <w:rsid w:val="00815C89"/>
    <w:rsid w:val="0081600D"/>
    <w:rsid w:val="00816D32"/>
    <w:rsid w:val="00816E3F"/>
    <w:rsid w:val="00816EAC"/>
    <w:rsid w:val="00817011"/>
    <w:rsid w:val="00817EF9"/>
    <w:rsid w:val="00822607"/>
    <w:rsid w:val="008232E9"/>
    <w:rsid w:val="00823ACD"/>
    <w:rsid w:val="00824216"/>
    <w:rsid w:val="00824321"/>
    <w:rsid w:val="008244BC"/>
    <w:rsid w:val="00824B52"/>
    <w:rsid w:val="00825D45"/>
    <w:rsid w:val="0082660C"/>
    <w:rsid w:val="0082681D"/>
    <w:rsid w:val="0082691C"/>
    <w:rsid w:val="008273DD"/>
    <w:rsid w:val="0083092A"/>
    <w:rsid w:val="00831A52"/>
    <w:rsid w:val="00831CFF"/>
    <w:rsid w:val="008321AF"/>
    <w:rsid w:val="00832A8A"/>
    <w:rsid w:val="00832F72"/>
    <w:rsid w:val="00833B1B"/>
    <w:rsid w:val="00833C7E"/>
    <w:rsid w:val="008343A8"/>
    <w:rsid w:val="00834D82"/>
    <w:rsid w:val="0083518C"/>
    <w:rsid w:val="00835A80"/>
    <w:rsid w:val="00836140"/>
    <w:rsid w:val="00836A56"/>
    <w:rsid w:val="00840CE4"/>
    <w:rsid w:val="00840FF6"/>
    <w:rsid w:val="008427A7"/>
    <w:rsid w:val="008438EA"/>
    <w:rsid w:val="0084774B"/>
    <w:rsid w:val="00847827"/>
    <w:rsid w:val="00850378"/>
    <w:rsid w:val="00850AF9"/>
    <w:rsid w:val="00852B57"/>
    <w:rsid w:val="00853C53"/>
    <w:rsid w:val="00854894"/>
    <w:rsid w:val="00854E03"/>
    <w:rsid w:val="0085799F"/>
    <w:rsid w:val="0086119F"/>
    <w:rsid w:val="008630E4"/>
    <w:rsid w:val="00863575"/>
    <w:rsid w:val="00864E1A"/>
    <w:rsid w:val="0086769D"/>
    <w:rsid w:val="00870439"/>
    <w:rsid w:val="0087064E"/>
    <w:rsid w:val="00870DF1"/>
    <w:rsid w:val="00872310"/>
    <w:rsid w:val="00872481"/>
    <w:rsid w:val="00872827"/>
    <w:rsid w:val="00872E22"/>
    <w:rsid w:val="00874043"/>
    <w:rsid w:val="00874678"/>
    <w:rsid w:val="00877540"/>
    <w:rsid w:val="00883D79"/>
    <w:rsid w:val="0088538A"/>
    <w:rsid w:val="00887A51"/>
    <w:rsid w:val="00887E5A"/>
    <w:rsid w:val="00892127"/>
    <w:rsid w:val="008921A5"/>
    <w:rsid w:val="0089320E"/>
    <w:rsid w:val="008946C4"/>
    <w:rsid w:val="00895364"/>
    <w:rsid w:val="00895A2C"/>
    <w:rsid w:val="008A0C1D"/>
    <w:rsid w:val="008A37D9"/>
    <w:rsid w:val="008A3A15"/>
    <w:rsid w:val="008A3DFD"/>
    <w:rsid w:val="008A63A0"/>
    <w:rsid w:val="008A7488"/>
    <w:rsid w:val="008B0D1A"/>
    <w:rsid w:val="008B0D85"/>
    <w:rsid w:val="008B1776"/>
    <w:rsid w:val="008B434E"/>
    <w:rsid w:val="008B49AA"/>
    <w:rsid w:val="008B6CBF"/>
    <w:rsid w:val="008B73C9"/>
    <w:rsid w:val="008C01AB"/>
    <w:rsid w:val="008C0599"/>
    <w:rsid w:val="008C09EF"/>
    <w:rsid w:val="008C0A12"/>
    <w:rsid w:val="008C1373"/>
    <w:rsid w:val="008C2179"/>
    <w:rsid w:val="008C228F"/>
    <w:rsid w:val="008C2D44"/>
    <w:rsid w:val="008C38BE"/>
    <w:rsid w:val="008C3ECC"/>
    <w:rsid w:val="008C50B6"/>
    <w:rsid w:val="008C5E5F"/>
    <w:rsid w:val="008C702E"/>
    <w:rsid w:val="008C7440"/>
    <w:rsid w:val="008D0E09"/>
    <w:rsid w:val="008D193D"/>
    <w:rsid w:val="008D20F0"/>
    <w:rsid w:val="008D21A3"/>
    <w:rsid w:val="008D37BF"/>
    <w:rsid w:val="008D384B"/>
    <w:rsid w:val="008D3C9F"/>
    <w:rsid w:val="008D4EBE"/>
    <w:rsid w:val="008D578C"/>
    <w:rsid w:val="008D6FC4"/>
    <w:rsid w:val="008D774E"/>
    <w:rsid w:val="008D7F75"/>
    <w:rsid w:val="008E0597"/>
    <w:rsid w:val="008E2082"/>
    <w:rsid w:val="008E3AE8"/>
    <w:rsid w:val="008E6859"/>
    <w:rsid w:val="008F05B4"/>
    <w:rsid w:val="008F1C1D"/>
    <w:rsid w:val="008F2270"/>
    <w:rsid w:val="008F3FAD"/>
    <w:rsid w:val="008F49DA"/>
    <w:rsid w:val="008F4AC1"/>
    <w:rsid w:val="008F5514"/>
    <w:rsid w:val="008F6699"/>
    <w:rsid w:val="008F7CA4"/>
    <w:rsid w:val="00901243"/>
    <w:rsid w:val="00902898"/>
    <w:rsid w:val="009040B1"/>
    <w:rsid w:val="009050BA"/>
    <w:rsid w:val="00906743"/>
    <w:rsid w:val="00906ABA"/>
    <w:rsid w:val="00906ED1"/>
    <w:rsid w:val="009072B7"/>
    <w:rsid w:val="009130EB"/>
    <w:rsid w:val="00913FA7"/>
    <w:rsid w:val="00917BED"/>
    <w:rsid w:val="00917D76"/>
    <w:rsid w:val="009218C2"/>
    <w:rsid w:val="00922374"/>
    <w:rsid w:val="00922747"/>
    <w:rsid w:val="00923378"/>
    <w:rsid w:val="0092412F"/>
    <w:rsid w:val="009258AE"/>
    <w:rsid w:val="00932108"/>
    <w:rsid w:val="0093244C"/>
    <w:rsid w:val="00933B0A"/>
    <w:rsid w:val="0093533F"/>
    <w:rsid w:val="00935492"/>
    <w:rsid w:val="009360F0"/>
    <w:rsid w:val="009368CF"/>
    <w:rsid w:val="00936E02"/>
    <w:rsid w:val="00937A98"/>
    <w:rsid w:val="00940C08"/>
    <w:rsid w:val="00940DCF"/>
    <w:rsid w:val="00941462"/>
    <w:rsid w:val="009425CE"/>
    <w:rsid w:val="009426F6"/>
    <w:rsid w:val="009437C1"/>
    <w:rsid w:val="00943F80"/>
    <w:rsid w:val="00947968"/>
    <w:rsid w:val="00950084"/>
    <w:rsid w:val="00951BDF"/>
    <w:rsid w:val="00951E29"/>
    <w:rsid w:val="00952B7A"/>
    <w:rsid w:val="0095321E"/>
    <w:rsid w:val="009532B1"/>
    <w:rsid w:val="00953E4B"/>
    <w:rsid w:val="00955017"/>
    <w:rsid w:val="00955335"/>
    <w:rsid w:val="0095602F"/>
    <w:rsid w:val="009568E3"/>
    <w:rsid w:val="0095771E"/>
    <w:rsid w:val="00961A92"/>
    <w:rsid w:val="00961B6E"/>
    <w:rsid w:val="00962D63"/>
    <w:rsid w:val="00965D48"/>
    <w:rsid w:val="00966DDC"/>
    <w:rsid w:val="009673FE"/>
    <w:rsid w:val="009711F2"/>
    <w:rsid w:val="009727BA"/>
    <w:rsid w:val="00972972"/>
    <w:rsid w:val="00974A46"/>
    <w:rsid w:val="009756CF"/>
    <w:rsid w:val="00975AFA"/>
    <w:rsid w:val="00976A0A"/>
    <w:rsid w:val="00980563"/>
    <w:rsid w:val="009818A3"/>
    <w:rsid w:val="00982EF6"/>
    <w:rsid w:val="00983F97"/>
    <w:rsid w:val="009847AC"/>
    <w:rsid w:val="00987954"/>
    <w:rsid w:val="00990B3A"/>
    <w:rsid w:val="00990DF2"/>
    <w:rsid w:val="00991480"/>
    <w:rsid w:val="0099211B"/>
    <w:rsid w:val="00992D7C"/>
    <w:rsid w:val="00996D66"/>
    <w:rsid w:val="00996E70"/>
    <w:rsid w:val="009A06DA"/>
    <w:rsid w:val="009A11D4"/>
    <w:rsid w:val="009A15E8"/>
    <w:rsid w:val="009A16CF"/>
    <w:rsid w:val="009A1E27"/>
    <w:rsid w:val="009A2A1F"/>
    <w:rsid w:val="009A3DCF"/>
    <w:rsid w:val="009A4613"/>
    <w:rsid w:val="009A485A"/>
    <w:rsid w:val="009A6104"/>
    <w:rsid w:val="009A6595"/>
    <w:rsid w:val="009A6DD1"/>
    <w:rsid w:val="009A71B2"/>
    <w:rsid w:val="009B04F9"/>
    <w:rsid w:val="009B31C6"/>
    <w:rsid w:val="009B375C"/>
    <w:rsid w:val="009B3D0C"/>
    <w:rsid w:val="009B40C4"/>
    <w:rsid w:val="009B56CA"/>
    <w:rsid w:val="009C0185"/>
    <w:rsid w:val="009C01D5"/>
    <w:rsid w:val="009C456A"/>
    <w:rsid w:val="009C4BBC"/>
    <w:rsid w:val="009C5E34"/>
    <w:rsid w:val="009C6B4E"/>
    <w:rsid w:val="009C6D37"/>
    <w:rsid w:val="009C6EB5"/>
    <w:rsid w:val="009C70F2"/>
    <w:rsid w:val="009D052E"/>
    <w:rsid w:val="009D0624"/>
    <w:rsid w:val="009D0943"/>
    <w:rsid w:val="009D0FD6"/>
    <w:rsid w:val="009D17D8"/>
    <w:rsid w:val="009D1EAB"/>
    <w:rsid w:val="009D2EA8"/>
    <w:rsid w:val="009D3FDC"/>
    <w:rsid w:val="009D615D"/>
    <w:rsid w:val="009D653B"/>
    <w:rsid w:val="009D673C"/>
    <w:rsid w:val="009D764D"/>
    <w:rsid w:val="009D7884"/>
    <w:rsid w:val="009E20F3"/>
    <w:rsid w:val="009E2546"/>
    <w:rsid w:val="009E3589"/>
    <w:rsid w:val="009E36B4"/>
    <w:rsid w:val="009E380E"/>
    <w:rsid w:val="009E3D44"/>
    <w:rsid w:val="009E49E3"/>
    <w:rsid w:val="009F04BB"/>
    <w:rsid w:val="009F09B6"/>
    <w:rsid w:val="009F276B"/>
    <w:rsid w:val="009F2AB9"/>
    <w:rsid w:val="009F2AC7"/>
    <w:rsid w:val="009F7BB6"/>
    <w:rsid w:val="00A07AE3"/>
    <w:rsid w:val="00A10033"/>
    <w:rsid w:val="00A10F35"/>
    <w:rsid w:val="00A110A9"/>
    <w:rsid w:val="00A1189B"/>
    <w:rsid w:val="00A11BA6"/>
    <w:rsid w:val="00A12075"/>
    <w:rsid w:val="00A16093"/>
    <w:rsid w:val="00A174C9"/>
    <w:rsid w:val="00A17A43"/>
    <w:rsid w:val="00A2384C"/>
    <w:rsid w:val="00A24514"/>
    <w:rsid w:val="00A24CB4"/>
    <w:rsid w:val="00A24ED3"/>
    <w:rsid w:val="00A256B9"/>
    <w:rsid w:val="00A26FFF"/>
    <w:rsid w:val="00A3036E"/>
    <w:rsid w:val="00A30EF4"/>
    <w:rsid w:val="00A33535"/>
    <w:rsid w:val="00A33A7E"/>
    <w:rsid w:val="00A33C98"/>
    <w:rsid w:val="00A33D7C"/>
    <w:rsid w:val="00A348C2"/>
    <w:rsid w:val="00A357F1"/>
    <w:rsid w:val="00A36F3A"/>
    <w:rsid w:val="00A375D5"/>
    <w:rsid w:val="00A377CD"/>
    <w:rsid w:val="00A418AC"/>
    <w:rsid w:val="00A41E83"/>
    <w:rsid w:val="00A42D33"/>
    <w:rsid w:val="00A42EAA"/>
    <w:rsid w:val="00A463D1"/>
    <w:rsid w:val="00A465B3"/>
    <w:rsid w:val="00A46B8F"/>
    <w:rsid w:val="00A476A9"/>
    <w:rsid w:val="00A552F4"/>
    <w:rsid w:val="00A55716"/>
    <w:rsid w:val="00A55732"/>
    <w:rsid w:val="00A56818"/>
    <w:rsid w:val="00A56AB9"/>
    <w:rsid w:val="00A56C9C"/>
    <w:rsid w:val="00A60080"/>
    <w:rsid w:val="00A6084C"/>
    <w:rsid w:val="00A61773"/>
    <w:rsid w:val="00A61FB0"/>
    <w:rsid w:val="00A6219B"/>
    <w:rsid w:val="00A64384"/>
    <w:rsid w:val="00A64902"/>
    <w:rsid w:val="00A6560B"/>
    <w:rsid w:val="00A656FD"/>
    <w:rsid w:val="00A65DE8"/>
    <w:rsid w:val="00A669CB"/>
    <w:rsid w:val="00A70A64"/>
    <w:rsid w:val="00A71A6C"/>
    <w:rsid w:val="00A71C10"/>
    <w:rsid w:val="00A72867"/>
    <w:rsid w:val="00A7297D"/>
    <w:rsid w:val="00A72DC5"/>
    <w:rsid w:val="00A72FFF"/>
    <w:rsid w:val="00A738DA"/>
    <w:rsid w:val="00A74B92"/>
    <w:rsid w:val="00A74D0E"/>
    <w:rsid w:val="00A7627D"/>
    <w:rsid w:val="00A7671E"/>
    <w:rsid w:val="00A775AA"/>
    <w:rsid w:val="00A779E3"/>
    <w:rsid w:val="00A77A50"/>
    <w:rsid w:val="00A805E6"/>
    <w:rsid w:val="00A8096B"/>
    <w:rsid w:val="00A81BE7"/>
    <w:rsid w:val="00A83E14"/>
    <w:rsid w:val="00A84536"/>
    <w:rsid w:val="00A861C8"/>
    <w:rsid w:val="00A86D6E"/>
    <w:rsid w:val="00A87AB9"/>
    <w:rsid w:val="00A90099"/>
    <w:rsid w:val="00A90485"/>
    <w:rsid w:val="00A909DC"/>
    <w:rsid w:val="00A91311"/>
    <w:rsid w:val="00A91D80"/>
    <w:rsid w:val="00A91E9A"/>
    <w:rsid w:val="00A9279D"/>
    <w:rsid w:val="00A9347C"/>
    <w:rsid w:val="00A9392B"/>
    <w:rsid w:val="00A94789"/>
    <w:rsid w:val="00A95BAC"/>
    <w:rsid w:val="00A967FB"/>
    <w:rsid w:val="00A97350"/>
    <w:rsid w:val="00AA39C0"/>
    <w:rsid w:val="00AA3B13"/>
    <w:rsid w:val="00AA3C9B"/>
    <w:rsid w:val="00AA45D0"/>
    <w:rsid w:val="00AA46C8"/>
    <w:rsid w:val="00AA4B0D"/>
    <w:rsid w:val="00AA5236"/>
    <w:rsid w:val="00AA57C0"/>
    <w:rsid w:val="00AA681C"/>
    <w:rsid w:val="00AA6C43"/>
    <w:rsid w:val="00AA6C7C"/>
    <w:rsid w:val="00AA7574"/>
    <w:rsid w:val="00AB0196"/>
    <w:rsid w:val="00AB08F7"/>
    <w:rsid w:val="00AB3703"/>
    <w:rsid w:val="00AB4062"/>
    <w:rsid w:val="00AB6139"/>
    <w:rsid w:val="00AB6693"/>
    <w:rsid w:val="00AB719C"/>
    <w:rsid w:val="00AC381E"/>
    <w:rsid w:val="00AC3C4B"/>
    <w:rsid w:val="00AC40CA"/>
    <w:rsid w:val="00AC4502"/>
    <w:rsid w:val="00AC5E13"/>
    <w:rsid w:val="00AC6825"/>
    <w:rsid w:val="00AD1C76"/>
    <w:rsid w:val="00AD1E62"/>
    <w:rsid w:val="00AD2E28"/>
    <w:rsid w:val="00AD3004"/>
    <w:rsid w:val="00AD5EC2"/>
    <w:rsid w:val="00AD766E"/>
    <w:rsid w:val="00AE1051"/>
    <w:rsid w:val="00AE21AF"/>
    <w:rsid w:val="00AE2E00"/>
    <w:rsid w:val="00AE3622"/>
    <w:rsid w:val="00AE3F8F"/>
    <w:rsid w:val="00AE4C18"/>
    <w:rsid w:val="00AE6CE0"/>
    <w:rsid w:val="00AE742F"/>
    <w:rsid w:val="00AE7714"/>
    <w:rsid w:val="00AF122B"/>
    <w:rsid w:val="00AF1542"/>
    <w:rsid w:val="00AF1806"/>
    <w:rsid w:val="00AF53AD"/>
    <w:rsid w:val="00AF55F6"/>
    <w:rsid w:val="00AF6B12"/>
    <w:rsid w:val="00AF70BA"/>
    <w:rsid w:val="00AF715C"/>
    <w:rsid w:val="00AF7343"/>
    <w:rsid w:val="00AF7C15"/>
    <w:rsid w:val="00B04333"/>
    <w:rsid w:val="00B052EC"/>
    <w:rsid w:val="00B05A6E"/>
    <w:rsid w:val="00B066F0"/>
    <w:rsid w:val="00B07638"/>
    <w:rsid w:val="00B101D3"/>
    <w:rsid w:val="00B1313E"/>
    <w:rsid w:val="00B14D38"/>
    <w:rsid w:val="00B1723C"/>
    <w:rsid w:val="00B202D5"/>
    <w:rsid w:val="00B21351"/>
    <w:rsid w:val="00B2188A"/>
    <w:rsid w:val="00B22FC8"/>
    <w:rsid w:val="00B24318"/>
    <w:rsid w:val="00B24571"/>
    <w:rsid w:val="00B264E3"/>
    <w:rsid w:val="00B26C55"/>
    <w:rsid w:val="00B27E15"/>
    <w:rsid w:val="00B3073E"/>
    <w:rsid w:val="00B30BDA"/>
    <w:rsid w:val="00B311F8"/>
    <w:rsid w:val="00B31D7C"/>
    <w:rsid w:val="00B3376A"/>
    <w:rsid w:val="00B34DF0"/>
    <w:rsid w:val="00B36135"/>
    <w:rsid w:val="00B40416"/>
    <w:rsid w:val="00B4046D"/>
    <w:rsid w:val="00B418BB"/>
    <w:rsid w:val="00B41AD4"/>
    <w:rsid w:val="00B4218C"/>
    <w:rsid w:val="00B42B27"/>
    <w:rsid w:val="00B42D8D"/>
    <w:rsid w:val="00B46A8D"/>
    <w:rsid w:val="00B46A8E"/>
    <w:rsid w:val="00B479BD"/>
    <w:rsid w:val="00B50AE6"/>
    <w:rsid w:val="00B50EA2"/>
    <w:rsid w:val="00B518F1"/>
    <w:rsid w:val="00B51D27"/>
    <w:rsid w:val="00B52145"/>
    <w:rsid w:val="00B539F6"/>
    <w:rsid w:val="00B54CF4"/>
    <w:rsid w:val="00B55035"/>
    <w:rsid w:val="00B56364"/>
    <w:rsid w:val="00B5656A"/>
    <w:rsid w:val="00B576D1"/>
    <w:rsid w:val="00B60031"/>
    <w:rsid w:val="00B63442"/>
    <w:rsid w:val="00B64C74"/>
    <w:rsid w:val="00B6579D"/>
    <w:rsid w:val="00B6693D"/>
    <w:rsid w:val="00B709F9"/>
    <w:rsid w:val="00B72BB7"/>
    <w:rsid w:val="00B7330B"/>
    <w:rsid w:val="00B73427"/>
    <w:rsid w:val="00B76230"/>
    <w:rsid w:val="00B76C71"/>
    <w:rsid w:val="00B771FF"/>
    <w:rsid w:val="00B776B8"/>
    <w:rsid w:val="00B80DD6"/>
    <w:rsid w:val="00B8208C"/>
    <w:rsid w:val="00B82BC8"/>
    <w:rsid w:val="00B852C7"/>
    <w:rsid w:val="00B92DB3"/>
    <w:rsid w:val="00B92FB9"/>
    <w:rsid w:val="00B93377"/>
    <w:rsid w:val="00B93B0D"/>
    <w:rsid w:val="00B949A9"/>
    <w:rsid w:val="00B94ADD"/>
    <w:rsid w:val="00B9552B"/>
    <w:rsid w:val="00B95716"/>
    <w:rsid w:val="00B95980"/>
    <w:rsid w:val="00B96BC2"/>
    <w:rsid w:val="00BA15FE"/>
    <w:rsid w:val="00BA1B21"/>
    <w:rsid w:val="00BA469B"/>
    <w:rsid w:val="00BA4D29"/>
    <w:rsid w:val="00BA56B1"/>
    <w:rsid w:val="00BA66B0"/>
    <w:rsid w:val="00BA6719"/>
    <w:rsid w:val="00BA67B4"/>
    <w:rsid w:val="00BA6F1A"/>
    <w:rsid w:val="00BA6FEA"/>
    <w:rsid w:val="00BA7177"/>
    <w:rsid w:val="00BA758E"/>
    <w:rsid w:val="00BB0504"/>
    <w:rsid w:val="00BB233A"/>
    <w:rsid w:val="00BB3136"/>
    <w:rsid w:val="00BB4245"/>
    <w:rsid w:val="00BB508D"/>
    <w:rsid w:val="00BB5309"/>
    <w:rsid w:val="00BB57EE"/>
    <w:rsid w:val="00BB5C30"/>
    <w:rsid w:val="00BB65FE"/>
    <w:rsid w:val="00BB685C"/>
    <w:rsid w:val="00BB6C24"/>
    <w:rsid w:val="00BC2947"/>
    <w:rsid w:val="00BC4008"/>
    <w:rsid w:val="00BC4569"/>
    <w:rsid w:val="00BC4C2A"/>
    <w:rsid w:val="00BC4EF6"/>
    <w:rsid w:val="00BC5663"/>
    <w:rsid w:val="00BC6039"/>
    <w:rsid w:val="00BC70B8"/>
    <w:rsid w:val="00BC7307"/>
    <w:rsid w:val="00BC7F56"/>
    <w:rsid w:val="00BD07BC"/>
    <w:rsid w:val="00BD1708"/>
    <w:rsid w:val="00BD1753"/>
    <w:rsid w:val="00BD1CDE"/>
    <w:rsid w:val="00BD2657"/>
    <w:rsid w:val="00BD3197"/>
    <w:rsid w:val="00BD35C6"/>
    <w:rsid w:val="00BD431E"/>
    <w:rsid w:val="00BD4C86"/>
    <w:rsid w:val="00BD54BB"/>
    <w:rsid w:val="00BE04BC"/>
    <w:rsid w:val="00BE3039"/>
    <w:rsid w:val="00BE3686"/>
    <w:rsid w:val="00BE375B"/>
    <w:rsid w:val="00BE42A9"/>
    <w:rsid w:val="00BE659C"/>
    <w:rsid w:val="00BE672D"/>
    <w:rsid w:val="00BE684E"/>
    <w:rsid w:val="00BF12E3"/>
    <w:rsid w:val="00BF1EB6"/>
    <w:rsid w:val="00BF32D0"/>
    <w:rsid w:val="00BF4541"/>
    <w:rsid w:val="00BF49E3"/>
    <w:rsid w:val="00BF5128"/>
    <w:rsid w:val="00BF51CF"/>
    <w:rsid w:val="00BF51EE"/>
    <w:rsid w:val="00BF57EB"/>
    <w:rsid w:val="00BF7F40"/>
    <w:rsid w:val="00C00674"/>
    <w:rsid w:val="00C05627"/>
    <w:rsid w:val="00C0650F"/>
    <w:rsid w:val="00C065F6"/>
    <w:rsid w:val="00C12679"/>
    <w:rsid w:val="00C15036"/>
    <w:rsid w:val="00C15A45"/>
    <w:rsid w:val="00C15CC2"/>
    <w:rsid w:val="00C15CF8"/>
    <w:rsid w:val="00C16746"/>
    <w:rsid w:val="00C2163A"/>
    <w:rsid w:val="00C21AB6"/>
    <w:rsid w:val="00C22C2C"/>
    <w:rsid w:val="00C231FD"/>
    <w:rsid w:val="00C25AA0"/>
    <w:rsid w:val="00C26498"/>
    <w:rsid w:val="00C343A2"/>
    <w:rsid w:val="00C34D48"/>
    <w:rsid w:val="00C3510B"/>
    <w:rsid w:val="00C3570F"/>
    <w:rsid w:val="00C36540"/>
    <w:rsid w:val="00C40248"/>
    <w:rsid w:val="00C40DB4"/>
    <w:rsid w:val="00C435CD"/>
    <w:rsid w:val="00C435D5"/>
    <w:rsid w:val="00C44720"/>
    <w:rsid w:val="00C46376"/>
    <w:rsid w:val="00C46799"/>
    <w:rsid w:val="00C4688C"/>
    <w:rsid w:val="00C471BD"/>
    <w:rsid w:val="00C52E27"/>
    <w:rsid w:val="00C5582D"/>
    <w:rsid w:val="00C5624B"/>
    <w:rsid w:val="00C566D2"/>
    <w:rsid w:val="00C608C1"/>
    <w:rsid w:val="00C60BE3"/>
    <w:rsid w:val="00C6442C"/>
    <w:rsid w:val="00C64854"/>
    <w:rsid w:val="00C649ED"/>
    <w:rsid w:val="00C65199"/>
    <w:rsid w:val="00C65378"/>
    <w:rsid w:val="00C65A1C"/>
    <w:rsid w:val="00C6612C"/>
    <w:rsid w:val="00C67E30"/>
    <w:rsid w:val="00C702FD"/>
    <w:rsid w:val="00C70511"/>
    <w:rsid w:val="00C70707"/>
    <w:rsid w:val="00C70F57"/>
    <w:rsid w:val="00C710B0"/>
    <w:rsid w:val="00C711B6"/>
    <w:rsid w:val="00C7185E"/>
    <w:rsid w:val="00C7245F"/>
    <w:rsid w:val="00C73872"/>
    <w:rsid w:val="00C745D1"/>
    <w:rsid w:val="00C75640"/>
    <w:rsid w:val="00C7680A"/>
    <w:rsid w:val="00C776EE"/>
    <w:rsid w:val="00C8016A"/>
    <w:rsid w:val="00C82555"/>
    <w:rsid w:val="00C82901"/>
    <w:rsid w:val="00C82B14"/>
    <w:rsid w:val="00C82E7E"/>
    <w:rsid w:val="00C83058"/>
    <w:rsid w:val="00C84A85"/>
    <w:rsid w:val="00C84B23"/>
    <w:rsid w:val="00C86987"/>
    <w:rsid w:val="00C87E5C"/>
    <w:rsid w:val="00C91F03"/>
    <w:rsid w:val="00C92222"/>
    <w:rsid w:val="00C955A6"/>
    <w:rsid w:val="00C97185"/>
    <w:rsid w:val="00C971D4"/>
    <w:rsid w:val="00CA1FF3"/>
    <w:rsid w:val="00CA2F45"/>
    <w:rsid w:val="00CA33E3"/>
    <w:rsid w:val="00CA46FA"/>
    <w:rsid w:val="00CA69A5"/>
    <w:rsid w:val="00CA6BF4"/>
    <w:rsid w:val="00CA6DBA"/>
    <w:rsid w:val="00CA7769"/>
    <w:rsid w:val="00CB0390"/>
    <w:rsid w:val="00CB03E6"/>
    <w:rsid w:val="00CB0FE5"/>
    <w:rsid w:val="00CB13D6"/>
    <w:rsid w:val="00CB1916"/>
    <w:rsid w:val="00CB2300"/>
    <w:rsid w:val="00CB246D"/>
    <w:rsid w:val="00CB3966"/>
    <w:rsid w:val="00CB3B22"/>
    <w:rsid w:val="00CB4554"/>
    <w:rsid w:val="00CB6907"/>
    <w:rsid w:val="00CC0268"/>
    <w:rsid w:val="00CC2712"/>
    <w:rsid w:val="00CC3550"/>
    <w:rsid w:val="00CC3795"/>
    <w:rsid w:val="00CC4C58"/>
    <w:rsid w:val="00CC7105"/>
    <w:rsid w:val="00CC7E6D"/>
    <w:rsid w:val="00CC7FDA"/>
    <w:rsid w:val="00CD0BC8"/>
    <w:rsid w:val="00CD0E53"/>
    <w:rsid w:val="00CD2023"/>
    <w:rsid w:val="00CD557B"/>
    <w:rsid w:val="00CD649B"/>
    <w:rsid w:val="00CD6AEF"/>
    <w:rsid w:val="00CE1245"/>
    <w:rsid w:val="00CE1246"/>
    <w:rsid w:val="00CE2851"/>
    <w:rsid w:val="00CE4252"/>
    <w:rsid w:val="00CE5359"/>
    <w:rsid w:val="00CE5583"/>
    <w:rsid w:val="00CE7227"/>
    <w:rsid w:val="00CF016E"/>
    <w:rsid w:val="00CF0665"/>
    <w:rsid w:val="00CF0D66"/>
    <w:rsid w:val="00CF2E06"/>
    <w:rsid w:val="00CF4E0E"/>
    <w:rsid w:val="00CF5F09"/>
    <w:rsid w:val="00CF68BA"/>
    <w:rsid w:val="00CF71D1"/>
    <w:rsid w:val="00CF75A9"/>
    <w:rsid w:val="00CF79E5"/>
    <w:rsid w:val="00D00F6B"/>
    <w:rsid w:val="00D010EA"/>
    <w:rsid w:val="00D01908"/>
    <w:rsid w:val="00D01D57"/>
    <w:rsid w:val="00D02FC7"/>
    <w:rsid w:val="00D034B1"/>
    <w:rsid w:val="00D04102"/>
    <w:rsid w:val="00D04BE7"/>
    <w:rsid w:val="00D04E8E"/>
    <w:rsid w:val="00D05F51"/>
    <w:rsid w:val="00D1007A"/>
    <w:rsid w:val="00D11082"/>
    <w:rsid w:val="00D1135B"/>
    <w:rsid w:val="00D1375D"/>
    <w:rsid w:val="00D14D8A"/>
    <w:rsid w:val="00D1669D"/>
    <w:rsid w:val="00D20E0F"/>
    <w:rsid w:val="00D23046"/>
    <w:rsid w:val="00D24154"/>
    <w:rsid w:val="00D24240"/>
    <w:rsid w:val="00D256F9"/>
    <w:rsid w:val="00D26A2D"/>
    <w:rsid w:val="00D2728B"/>
    <w:rsid w:val="00D313E5"/>
    <w:rsid w:val="00D325ED"/>
    <w:rsid w:val="00D32FB6"/>
    <w:rsid w:val="00D34740"/>
    <w:rsid w:val="00D35EF9"/>
    <w:rsid w:val="00D41637"/>
    <w:rsid w:val="00D4386C"/>
    <w:rsid w:val="00D43A50"/>
    <w:rsid w:val="00D450A3"/>
    <w:rsid w:val="00D45801"/>
    <w:rsid w:val="00D462DA"/>
    <w:rsid w:val="00D46AC1"/>
    <w:rsid w:val="00D51934"/>
    <w:rsid w:val="00D51A4F"/>
    <w:rsid w:val="00D51D22"/>
    <w:rsid w:val="00D51E55"/>
    <w:rsid w:val="00D5264A"/>
    <w:rsid w:val="00D531DC"/>
    <w:rsid w:val="00D54056"/>
    <w:rsid w:val="00D5554D"/>
    <w:rsid w:val="00D578AE"/>
    <w:rsid w:val="00D614C1"/>
    <w:rsid w:val="00D6272C"/>
    <w:rsid w:val="00D66D2B"/>
    <w:rsid w:val="00D67F02"/>
    <w:rsid w:val="00D705BB"/>
    <w:rsid w:val="00D714EA"/>
    <w:rsid w:val="00D73781"/>
    <w:rsid w:val="00D76C13"/>
    <w:rsid w:val="00D77EEA"/>
    <w:rsid w:val="00D81015"/>
    <w:rsid w:val="00D81BB2"/>
    <w:rsid w:val="00D82CB4"/>
    <w:rsid w:val="00D8327C"/>
    <w:rsid w:val="00D84D17"/>
    <w:rsid w:val="00D85333"/>
    <w:rsid w:val="00D85929"/>
    <w:rsid w:val="00D859C5"/>
    <w:rsid w:val="00D85BA3"/>
    <w:rsid w:val="00D85E43"/>
    <w:rsid w:val="00D860D1"/>
    <w:rsid w:val="00D86B27"/>
    <w:rsid w:val="00D87C8B"/>
    <w:rsid w:val="00D87F0A"/>
    <w:rsid w:val="00D91C50"/>
    <w:rsid w:val="00D924CE"/>
    <w:rsid w:val="00D928CF"/>
    <w:rsid w:val="00D93824"/>
    <w:rsid w:val="00D93FBF"/>
    <w:rsid w:val="00D9403D"/>
    <w:rsid w:val="00D94419"/>
    <w:rsid w:val="00D94B6E"/>
    <w:rsid w:val="00D94E0F"/>
    <w:rsid w:val="00D9567B"/>
    <w:rsid w:val="00D97E8D"/>
    <w:rsid w:val="00DA086C"/>
    <w:rsid w:val="00DA1A59"/>
    <w:rsid w:val="00DA3889"/>
    <w:rsid w:val="00DA79DC"/>
    <w:rsid w:val="00DB0483"/>
    <w:rsid w:val="00DB1567"/>
    <w:rsid w:val="00DB1AA4"/>
    <w:rsid w:val="00DB377C"/>
    <w:rsid w:val="00DB3F64"/>
    <w:rsid w:val="00DB5C69"/>
    <w:rsid w:val="00DB6138"/>
    <w:rsid w:val="00DC11D3"/>
    <w:rsid w:val="00DC131F"/>
    <w:rsid w:val="00DC1CD4"/>
    <w:rsid w:val="00DC42AC"/>
    <w:rsid w:val="00DC6221"/>
    <w:rsid w:val="00DC69C6"/>
    <w:rsid w:val="00DC6C24"/>
    <w:rsid w:val="00DC72F7"/>
    <w:rsid w:val="00DC7BB4"/>
    <w:rsid w:val="00DD2DA7"/>
    <w:rsid w:val="00DD5278"/>
    <w:rsid w:val="00DD67BF"/>
    <w:rsid w:val="00DD7D44"/>
    <w:rsid w:val="00DE055D"/>
    <w:rsid w:val="00DE1424"/>
    <w:rsid w:val="00DE3925"/>
    <w:rsid w:val="00DE3F6B"/>
    <w:rsid w:val="00DE4556"/>
    <w:rsid w:val="00DE53C5"/>
    <w:rsid w:val="00DE5648"/>
    <w:rsid w:val="00DE5D80"/>
    <w:rsid w:val="00DE6D3F"/>
    <w:rsid w:val="00DE75C3"/>
    <w:rsid w:val="00DF0725"/>
    <w:rsid w:val="00DF077D"/>
    <w:rsid w:val="00DF4E30"/>
    <w:rsid w:val="00DF5F3D"/>
    <w:rsid w:val="00DF603B"/>
    <w:rsid w:val="00E003AE"/>
    <w:rsid w:val="00E004D3"/>
    <w:rsid w:val="00E00741"/>
    <w:rsid w:val="00E03177"/>
    <w:rsid w:val="00E034DA"/>
    <w:rsid w:val="00E03532"/>
    <w:rsid w:val="00E03A5F"/>
    <w:rsid w:val="00E05B5F"/>
    <w:rsid w:val="00E05CCA"/>
    <w:rsid w:val="00E0606C"/>
    <w:rsid w:val="00E06B00"/>
    <w:rsid w:val="00E06EA1"/>
    <w:rsid w:val="00E10912"/>
    <w:rsid w:val="00E11C7C"/>
    <w:rsid w:val="00E1288D"/>
    <w:rsid w:val="00E14D22"/>
    <w:rsid w:val="00E14E54"/>
    <w:rsid w:val="00E2284A"/>
    <w:rsid w:val="00E23B8F"/>
    <w:rsid w:val="00E2440E"/>
    <w:rsid w:val="00E25CF3"/>
    <w:rsid w:val="00E266E5"/>
    <w:rsid w:val="00E266FA"/>
    <w:rsid w:val="00E26D3F"/>
    <w:rsid w:val="00E27166"/>
    <w:rsid w:val="00E27430"/>
    <w:rsid w:val="00E31F3E"/>
    <w:rsid w:val="00E32E51"/>
    <w:rsid w:val="00E3585B"/>
    <w:rsid w:val="00E35970"/>
    <w:rsid w:val="00E36F34"/>
    <w:rsid w:val="00E40F35"/>
    <w:rsid w:val="00E41263"/>
    <w:rsid w:val="00E42D27"/>
    <w:rsid w:val="00E45A65"/>
    <w:rsid w:val="00E45AB0"/>
    <w:rsid w:val="00E475F6"/>
    <w:rsid w:val="00E52590"/>
    <w:rsid w:val="00E52AC1"/>
    <w:rsid w:val="00E52BF6"/>
    <w:rsid w:val="00E54A63"/>
    <w:rsid w:val="00E5512B"/>
    <w:rsid w:val="00E557F2"/>
    <w:rsid w:val="00E56DEA"/>
    <w:rsid w:val="00E56FA6"/>
    <w:rsid w:val="00E575E9"/>
    <w:rsid w:val="00E5782C"/>
    <w:rsid w:val="00E57A91"/>
    <w:rsid w:val="00E60309"/>
    <w:rsid w:val="00E60F69"/>
    <w:rsid w:val="00E60F6E"/>
    <w:rsid w:val="00E63AFA"/>
    <w:rsid w:val="00E64670"/>
    <w:rsid w:val="00E6584C"/>
    <w:rsid w:val="00E6725F"/>
    <w:rsid w:val="00E708AB"/>
    <w:rsid w:val="00E71041"/>
    <w:rsid w:val="00E718FC"/>
    <w:rsid w:val="00E71A11"/>
    <w:rsid w:val="00E71B24"/>
    <w:rsid w:val="00E72560"/>
    <w:rsid w:val="00E772BE"/>
    <w:rsid w:val="00E77832"/>
    <w:rsid w:val="00E81191"/>
    <w:rsid w:val="00E8143B"/>
    <w:rsid w:val="00E83476"/>
    <w:rsid w:val="00E83674"/>
    <w:rsid w:val="00E8378E"/>
    <w:rsid w:val="00E837D7"/>
    <w:rsid w:val="00E840AD"/>
    <w:rsid w:val="00E841E9"/>
    <w:rsid w:val="00E8427D"/>
    <w:rsid w:val="00E8498E"/>
    <w:rsid w:val="00E866E1"/>
    <w:rsid w:val="00E8705D"/>
    <w:rsid w:val="00E904E0"/>
    <w:rsid w:val="00E912DE"/>
    <w:rsid w:val="00E924AB"/>
    <w:rsid w:val="00E93AE1"/>
    <w:rsid w:val="00E940BA"/>
    <w:rsid w:val="00E9477E"/>
    <w:rsid w:val="00E95DA6"/>
    <w:rsid w:val="00E9621B"/>
    <w:rsid w:val="00E97A02"/>
    <w:rsid w:val="00EA03F0"/>
    <w:rsid w:val="00EA3CAB"/>
    <w:rsid w:val="00EB120D"/>
    <w:rsid w:val="00EB1785"/>
    <w:rsid w:val="00EB2B95"/>
    <w:rsid w:val="00EB3A6B"/>
    <w:rsid w:val="00EB5C09"/>
    <w:rsid w:val="00EB5C74"/>
    <w:rsid w:val="00EB664A"/>
    <w:rsid w:val="00EB73BB"/>
    <w:rsid w:val="00EB7AF7"/>
    <w:rsid w:val="00EC0B2A"/>
    <w:rsid w:val="00EC170A"/>
    <w:rsid w:val="00EC1B33"/>
    <w:rsid w:val="00EC2E15"/>
    <w:rsid w:val="00EC3A24"/>
    <w:rsid w:val="00EC4F04"/>
    <w:rsid w:val="00EC5093"/>
    <w:rsid w:val="00EC554F"/>
    <w:rsid w:val="00EC588A"/>
    <w:rsid w:val="00EC5D3E"/>
    <w:rsid w:val="00EC66C7"/>
    <w:rsid w:val="00ED1636"/>
    <w:rsid w:val="00ED1EF1"/>
    <w:rsid w:val="00ED2611"/>
    <w:rsid w:val="00ED28E5"/>
    <w:rsid w:val="00ED339B"/>
    <w:rsid w:val="00ED3D20"/>
    <w:rsid w:val="00ED48F3"/>
    <w:rsid w:val="00ED491C"/>
    <w:rsid w:val="00ED559C"/>
    <w:rsid w:val="00ED609D"/>
    <w:rsid w:val="00ED7A14"/>
    <w:rsid w:val="00EE0122"/>
    <w:rsid w:val="00EE066D"/>
    <w:rsid w:val="00EE2228"/>
    <w:rsid w:val="00EE2617"/>
    <w:rsid w:val="00EE3B8C"/>
    <w:rsid w:val="00EE4444"/>
    <w:rsid w:val="00EE4812"/>
    <w:rsid w:val="00EE50B8"/>
    <w:rsid w:val="00EE6AC8"/>
    <w:rsid w:val="00EF0794"/>
    <w:rsid w:val="00EF15DE"/>
    <w:rsid w:val="00EF1F49"/>
    <w:rsid w:val="00EF2261"/>
    <w:rsid w:val="00EF38A4"/>
    <w:rsid w:val="00EF4407"/>
    <w:rsid w:val="00EF5A83"/>
    <w:rsid w:val="00EF7CD1"/>
    <w:rsid w:val="00F00A3E"/>
    <w:rsid w:val="00F00A67"/>
    <w:rsid w:val="00F00CD7"/>
    <w:rsid w:val="00F01D23"/>
    <w:rsid w:val="00F020F3"/>
    <w:rsid w:val="00F03A67"/>
    <w:rsid w:val="00F043A1"/>
    <w:rsid w:val="00F0543E"/>
    <w:rsid w:val="00F06299"/>
    <w:rsid w:val="00F06EF4"/>
    <w:rsid w:val="00F073ED"/>
    <w:rsid w:val="00F07CB2"/>
    <w:rsid w:val="00F07EEB"/>
    <w:rsid w:val="00F1001C"/>
    <w:rsid w:val="00F11F80"/>
    <w:rsid w:val="00F1213A"/>
    <w:rsid w:val="00F1252B"/>
    <w:rsid w:val="00F14184"/>
    <w:rsid w:val="00F141A2"/>
    <w:rsid w:val="00F14741"/>
    <w:rsid w:val="00F148F5"/>
    <w:rsid w:val="00F14D8F"/>
    <w:rsid w:val="00F158BA"/>
    <w:rsid w:val="00F158FD"/>
    <w:rsid w:val="00F169AE"/>
    <w:rsid w:val="00F170D0"/>
    <w:rsid w:val="00F17B18"/>
    <w:rsid w:val="00F213D2"/>
    <w:rsid w:val="00F21A72"/>
    <w:rsid w:val="00F22C8E"/>
    <w:rsid w:val="00F250F6"/>
    <w:rsid w:val="00F263C2"/>
    <w:rsid w:val="00F26A4B"/>
    <w:rsid w:val="00F30411"/>
    <w:rsid w:val="00F32A8D"/>
    <w:rsid w:val="00F32F9D"/>
    <w:rsid w:val="00F3598E"/>
    <w:rsid w:val="00F35FBF"/>
    <w:rsid w:val="00F42850"/>
    <w:rsid w:val="00F4542B"/>
    <w:rsid w:val="00F46540"/>
    <w:rsid w:val="00F46D83"/>
    <w:rsid w:val="00F50117"/>
    <w:rsid w:val="00F50614"/>
    <w:rsid w:val="00F50A31"/>
    <w:rsid w:val="00F50F90"/>
    <w:rsid w:val="00F5188F"/>
    <w:rsid w:val="00F5229E"/>
    <w:rsid w:val="00F5382E"/>
    <w:rsid w:val="00F5440F"/>
    <w:rsid w:val="00F548B2"/>
    <w:rsid w:val="00F55E03"/>
    <w:rsid w:val="00F562B9"/>
    <w:rsid w:val="00F5634B"/>
    <w:rsid w:val="00F568E1"/>
    <w:rsid w:val="00F572CA"/>
    <w:rsid w:val="00F60BBE"/>
    <w:rsid w:val="00F615A7"/>
    <w:rsid w:val="00F620FF"/>
    <w:rsid w:val="00F64941"/>
    <w:rsid w:val="00F6529D"/>
    <w:rsid w:val="00F65379"/>
    <w:rsid w:val="00F65987"/>
    <w:rsid w:val="00F65A56"/>
    <w:rsid w:val="00F72529"/>
    <w:rsid w:val="00F73D15"/>
    <w:rsid w:val="00F8022D"/>
    <w:rsid w:val="00F80701"/>
    <w:rsid w:val="00F80795"/>
    <w:rsid w:val="00F80CEB"/>
    <w:rsid w:val="00F813B6"/>
    <w:rsid w:val="00F82632"/>
    <w:rsid w:val="00F82D5C"/>
    <w:rsid w:val="00F850B9"/>
    <w:rsid w:val="00F8648B"/>
    <w:rsid w:val="00F868C0"/>
    <w:rsid w:val="00F9084E"/>
    <w:rsid w:val="00F90AD4"/>
    <w:rsid w:val="00F917DF"/>
    <w:rsid w:val="00F92407"/>
    <w:rsid w:val="00F93AB0"/>
    <w:rsid w:val="00F95BEB"/>
    <w:rsid w:val="00F95BF4"/>
    <w:rsid w:val="00F96D34"/>
    <w:rsid w:val="00F97161"/>
    <w:rsid w:val="00FA0649"/>
    <w:rsid w:val="00FA0F2F"/>
    <w:rsid w:val="00FA1952"/>
    <w:rsid w:val="00FA263B"/>
    <w:rsid w:val="00FA2E23"/>
    <w:rsid w:val="00FA317E"/>
    <w:rsid w:val="00FA7A72"/>
    <w:rsid w:val="00FB0542"/>
    <w:rsid w:val="00FB2C8D"/>
    <w:rsid w:val="00FB453F"/>
    <w:rsid w:val="00FB589A"/>
    <w:rsid w:val="00FB63CD"/>
    <w:rsid w:val="00FC1847"/>
    <w:rsid w:val="00FC3E28"/>
    <w:rsid w:val="00FC496D"/>
    <w:rsid w:val="00FC4995"/>
    <w:rsid w:val="00FC66FE"/>
    <w:rsid w:val="00FC6830"/>
    <w:rsid w:val="00FD08C7"/>
    <w:rsid w:val="00FD1935"/>
    <w:rsid w:val="00FD262F"/>
    <w:rsid w:val="00FD2D4F"/>
    <w:rsid w:val="00FD2F0A"/>
    <w:rsid w:val="00FD4CBB"/>
    <w:rsid w:val="00FD5BA3"/>
    <w:rsid w:val="00FD6BE6"/>
    <w:rsid w:val="00FD6CBF"/>
    <w:rsid w:val="00FD78E7"/>
    <w:rsid w:val="00FE00ED"/>
    <w:rsid w:val="00FE231C"/>
    <w:rsid w:val="00FE26C1"/>
    <w:rsid w:val="00FE599F"/>
    <w:rsid w:val="00FE5AFB"/>
    <w:rsid w:val="00FE5E78"/>
    <w:rsid w:val="00FE626C"/>
    <w:rsid w:val="00FE7A54"/>
    <w:rsid w:val="00FE7B0C"/>
    <w:rsid w:val="00FF0877"/>
    <w:rsid w:val="00FF1129"/>
    <w:rsid w:val="00FF2269"/>
    <w:rsid w:val="00FF4A5D"/>
    <w:rsid w:val="00FF4D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FDCA"/>
  <w15:docId w15:val="{7ABD2447-BAF8-407A-A848-562C7086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Неразрешенное упоминание4"/>
    <w:basedOn w:val="a0"/>
    <w:uiPriority w:val="99"/>
    <w:semiHidden/>
    <w:unhideWhenUsed/>
    <w:rsid w:val="003B6F9F"/>
    <w:rPr>
      <w:color w:val="605E5C"/>
      <w:shd w:val="clear" w:color="auto" w:fill="E1DFDD"/>
    </w:rPr>
  </w:style>
  <w:style w:type="character" w:customStyle="1" w:styleId="searchresult">
    <w:name w:val="search_result"/>
    <w:basedOn w:val="a0"/>
    <w:rsid w:val="00B066F0"/>
  </w:style>
  <w:style w:type="character" w:customStyle="1" w:styleId="5">
    <w:name w:val="Неразрешенное упоминание5"/>
    <w:basedOn w:val="a0"/>
    <w:uiPriority w:val="99"/>
    <w:semiHidden/>
    <w:unhideWhenUsed/>
    <w:rsid w:val="001A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85007882">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41379920">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318070620">
      <w:bodyDiv w:val="1"/>
      <w:marLeft w:val="0"/>
      <w:marRight w:val="0"/>
      <w:marTop w:val="0"/>
      <w:marBottom w:val="0"/>
      <w:divBdr>
        <w:top w:val="none" w:sz="0" w:space="0" w:color="auto"/>
        <w:left w:val="none" w:sz="0" w:space="0" w:color="auto"/>
        <w:bottom w:val="none" w:sz="0" w:space="0" w:color="auto"/>
        <w:right w:val="none" w:sz="0" w:space="0" w:color="auto"/>
      </w:divBdr>
      <w:divsChild>
        <w:div w:id="1731271298">
          <w:marLeft w:val="0"/>
          <w:marRight w:val="0"/>
          <w:marTop w:val="0"/>
          <w:marBottom w:val="240"/>
          <w:divBdr>
            <w:top w:val="none" w:sz="0" w:space="0" w:color="auto"/>
            <w:left w:val="none" w:sz="0" w:space="0" w:color="auto"/>
            <w:bottom w:val="none" w:sz="0" w:space="0" w:color="auto"/>
            <w:right w:val="none" w:sz="0" w:space="0" w:color="auto"/>
          </w:divBdr>
        </w:div>
        <w:div w:id="1932616286">
          <w:marLeft w:val="0"/>
          <w:marRight w:val="0"/>
          <w:marTop w:val="0"/>
          <w:marBottom w:val="0"/>
          <w:divBdr>
            <w:top w:val="none" w:sz="0" w:space="0" w:color="auto"/>
            <w:left w:val="none" w:sz="0" w:space="0" w:color="auto"/>
            <w:bottom w:val="none" w:sz="0" w:space="0" w:color="auto"/>
            <w:right w:val="none" w:sz="0" w:space="0" w:color="auto"/>
          </w:divBdr>
        </w:div>
      </w:divsChild>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471052193">
      <w:bodyDiv w:val="1"/>
      <w:marLeft w:val="0"/>
      <w:marRight w:val="0"/>
      <w:marTop w:val="0"/>
      <w:marBottom w:val="0"/>
      <w:divBdr>
        <w:top w:val="none" w:sz="0" w:space="0" w:color="auto"/>
        <w:left w:val="none" w:sz="0" w:space="0" w:color="auto"/>
        <w:bottom w:val="none" w:sz="0" w:space="0" w:color="auto"/>
        <w:right w:val="none" w:sz="0" w:space="0" w:color="auto"/>
      </w:divBdr>
      <w:divsChild>
        <w:div w:id="243346437">
          <w:marLeft w:val="0"/>
          <w:marRight w:val="0"/>
          <w:marTop w:val="0"/>
          <w:marBottom w:val="240"/>
          <w:divBdr>
            <w:top w:val="none" w:sz="0" w:space="0" w:color="auto"/>
            <w:left w:val="none" w:sz="0" w:space="0" w:color="auto"/>
            <w:bottom w:val="none" w:sz="0" w:space="0" w:color="auto"/>
            <w:right w:val="none" w:sz="0" w:space="0" w:color="auto"/>
          </w:divBdr>
        </w:div>
        <w:div w:id="1102074064">
          <w:marLeft w:val="0"/>
          <w:marRight w:val="0"/>
          <w:marTop w:val="0"/>
          <w:marBottom w:val="0"/>
          <w:divBdr>
            <w:top w:val="none" w:sz="0" w:space="0" w:color="auto"/>
            <w:left w:val="none" w:sz="0" w:space="0" w:color="auto"/>
            <w:bottom w:val="none" w:sz="0" w:space="0" w:color="auto"/>
            <w:right w:val="none" w:sz="0" w:space="0" w:color="auto"/>
          </w:divBdr>
        </w:div>
      </w:divsChild>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37036572">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35015426">
      <w:bodyDiv w:val="1"/>
      <w:marLeft w:val="0"/>
      <w:marRight w:val="0"/>
      <w:marTop w:val="0"/>
      <w:marBottom w:val="0"/>
      <w:divBdr>
        <w:top w:val="none" w:sz="0" w:space="0" w:color="auto"/>
        <w:left w:val="none" w:sz="0" w:space="0" w:color="auto"/>
        <w:bottom w:val="none" w:sz="0" w:space="0" w:color="auto"/>
        <w:right w:val="none" w:sz="0" w:space="0" w:color="auto"/>
      </w:divBdr>
    </w:div>
    <w:div w:id="1672101766">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2209-F71B-4BF8-BD8E-0D6F742B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1837</Words>
  <Characters>12824</Characters>
  <Application>Microsoft Office Word</Application>
  <DocSecurity>0</DocSecurity>
  <Lines>203</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Лебединский ВИ</dc:creator>
  <cp:lastModifiedBy>Murat Kurbanov</cp:lastModifiedBy>
  <cp:revision>4</cp:revision>
  <cp:lastPrinted>2021-10-13T20:07:00Z</cp:lastPrinted>
  <dcterms:created xsi:type="dcterms:W3CDTF">2021-11-25T13:46:00Z</dcterms:created>
  <dcterms:modified xsi:type="dcterms:W3CDTF">2021-11-25T13:49:00Z</dcterms:modified>
</cp:coreProperties>
</file>