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2C" w:rsidRPr="00F57E05" w:rsidRDefault="006B5666" w:rsidP="006B5666">
      <w:pPr>
        <w:jc w:val="both"/>
        <w:rPr>
          <w:b/>
        </w:rPr>
      </w:pPr>
      <w:r w:rsidRPr="00F57E05">
        <w:rPr>
          <w:b/>
          <w:lang w:val="en-US"/>
        </w:rPr>
        <w:t>I</w:t>
      </w:r>
      <w:r w:rsidRPr="00F57E05">
        <w:rPr>
          <w:b/>
        </w:rPr>
        <w:t xml:space="preserve">. </w:t>
      </w:r>
      <w:r w:rsidR="00CC5C92" w:rsidRPr="00F57E05">
        <w:rPr>
          <w:b/>
        </w:rPr>
        <w:t xml:space="preserve">Сайт </w:t>
      </w:r>
      <w:proofErr w:type="spellStart"/>
      <w:r w:rsidR="00CC5C92" w:rsidRPr="00F57E05">
        <w:rPr>
          <w:b/>
        </w:rPr>
        <w:t>Росреестра</w:t>
      </w:r>
      <w:proofErr w:type="spellEnd"/>
      <w:r w:rsidR="00CC5C92" w:rsidRPr="00F57E05">
        <w:rPr>
          <w:b/>
        </w:rPr>
        <w:t xml:space="preserve"> – Комиссии по оспариванию</w:t>
      </w:r>
    </w:p>
    <w:p w:rsidR="00CC5C92" w:rsidRDefault="00CC5C92" w:rsidP="006B5666">
      <w:pPr>
        <w:jc w:val="both"/>
      </w:pPr>
      <w:r>
        <w:t>Обобщенные сведения по работе Комиссии</w:t>
      </w:r>
    </w:p>
    <w:p w:rsidR="006B5666" w:rsidRDefault="00F57E05" w:rsidP="006B5666">
      <w:pPr>
        <w:jc w:val="both"/>
      </w:pPr>
      <w:hyperlink r:id="rId4" w:history="1">
        <w:r w:rsidR="006B5666" w:rsidRPr="00803D3F">
          <w:rPr>
            <w:rStyle w:val="a3"/>
          </w:rPr>
          <w:t>https://rosreestr.ru/site/activity/rassmotrenie-sporov-o-rezultatakh-opredeleniya-kadastrovoy-stoimosti-/</w:t>
        </w:r>
      </w:hyperlink>
    </w:p>
    <w:p w:rsidR="00CC5C92" w:rsidRDefault="00CC5C92" w:rsidP="006B5666">
      <w:pPr>
        <w:jc w:val="both"/>
      </w:pPr>
      <w:r>
        <w:t>Отчеты об определении кадастровой и об оценке рыночной стоимости</w:t>
      </w:r>
    </w:p>
    <w:p w:rsidR="00CC5C92" w:rsidRDefault="00F57E05" w:rsidP="006B5666">
      <w:pPr>
        <w:jc w:val="both"/>
      </w:pPr>
      <w:hyperlink r:id="rId5" w:history="1">
        <w:r w:rsidR="006B5666" w:rsidRPr="00803D3F">
          <w:rPr>
            <w:rStyle w:val="a3"/>
          </w:rPr>
          <w:t>http://www.rosreestr.ru/wps/portal/cc_ib_svedFDGKO</w:t>
        </w:r>
      </w:hyperlink>
    </w:p>
    <w:p w:rsidR="00CC5C92" w:rsidRPr="00F57E05" w:rsidRDefault="00CC5C92" w:rsidP="006B5666">
      <w:pPr>
        <w:jc w:val="both"/>
        <w:rPr>
          <w:b/>
        </w:rPr>
      </w:pPr>
      <w:r w:rsidRPr="00F57E05">
        <w:rPr>
          <w:b/>
          <w:lang w:val="en-US"/>
        </w:rPr>
        <w:t>II</w:t>
      </w:r>
      <w:r w:rsidR="006B5666" w:rsidRPr="00F57E05">
        <w:rPr>
          <w:b/>
        </w:rPr>
        <w:t xml:space="preserve">. </w:t>
      </w:r>
      <w:r w:rsidRPr="00F57E05">
        <w:rPr>
          <w:b/>
        </w:rPr>
        <w:t>Сведения о работе Комиссии по оспариванию в Санкт-Петербурге</w:t>
      </w:r>
    </w:p>
    <w:p w:rsidR="00CC5C92" w:rsidRDefault="00CC5C92" w:rsidP="006B5666">
      <w:pPr>
        <w:jc w:val="both"/>
      </w:pPr>
      <w:r>
        <w:t>1. За весь период работы Комиссии (ноябрь 2012 – март 2016) рассмотрены 326 заявлений (включая повторные) по объектам недвижимости, из них 227 (почти 70%) – по земельным участкам. 99 заявлений – по зданиям и помещениям.</w:t>
      </w:r>
    </w:p>
    <w:p w:rsidR="00CC5C92" w:rsidRDefault="00CC5C92" w:rsidP="006B5666">
      <w:pPr>
        <w:jc w:val="both"/>
      </w:pPr>
      <w:r>
        <w:t xml:space="preserve">2. В период с начала работы Комиссии (приказ </w:t>
      </w:r>
      <w:proofErr w:type="spellStart"/>
      <w:r>
        <w:t>Росреестра</w:t>
      </w:r>
      <w:proofErr w:type="spellEnd"/>
      <w:r>
        <w:t xml:space="preserve"> от 08.08.2012 № П/350 при Управлении </w:t>
      </w:r>
      <w:proofErr w:type="spellStart"/>
      <w:r>
        <w:t>Росреестра</w:t>
      </w:r>
      <w:proofErr w:type="spellEnd"/>
      <w:r>
        <w:t xml:space="preserve"> по Санкт-Петербургу) до внесения изменений приказом Минэкономразвития России от 16.05.2013 №259 в Порядок создания и работы Комиссии по рассмотрению споров о результатах определения кадастровой стоимости, утвержденный приказом Минэкономразвития России от 04.05.2012 №263, комиссией было рассмотрено 80 заявлений, из них отклонено 79 (99%) – в связи с отсутствием единогласия членов Комиссии. В единственном удовлетворенном случае снижение КС – 9%.</w:t>
      </w:r>
    </w:p>
    <w:p w:rsidR="00CC5C92" w:rsidRDefault="00CC5C92" w:rsidP="006B5666">
      <w:pPr>
        <w:jc w:val="both"/>
      </w:pPr>
      <w:r>
        <w:t>3. В период август 2013 – декабрь 2015 рассмотрены заявления по 203 объектам, из них удовлетворено – 42, т.е. чуть более 20%. С учетом вполне приличного качества кадастровой оценки в СПб это процент можно рассматривать как нормальный.</w:t>
      </w:r>
    </w:p>
    <w:p w:rsidR="00CC5C92" w:rsidRDefault="00CC5C92" w:rsidP="006B5666">
      <w:pPr>
        <w:jc w:val="both"/>
      </w:pPr>
      <w:r>
        <w:t>4. В январе – марте 2016 г. рассмотрены заявления по 43 объектам, удовлетворены 18 из них. Т.е. 42%. Повышенная доля положительных решений объясняется главным образом повторным прохождением отчетов об оценке РС после устранения замечаний.</w:t>
      </w:r>
    </w:p>
    <w:p w:rsidR="00CC5C92" w:rsidRPr="00F57E05" w:rsidRDefault="00CC5C92" w:rsidP="006B5666">
      <w:pPr>
        <w:jc w:val="both"/>
        <w:rPr>
          <w:b/>
        </w:rPr>
      </w:pPr>
      <w:r w:rsidRPr="00F57E05">
        <w:rPr>
          <w:b/>
          <w:lang w:val="en-US"/>
        </w:rPr>
        <w:t>III</w:t>
      </w:r>
      <w:r w:rsidRPr="00F57E05">
        <w:rPr>
          <w:b/>
        </w:rPr>
        <w:t>. Типичные замечания к отчетам об оценке рыночной стоимости при оспариван</w:t>
      </w:r>
      <w:r w:rsidR="003A3DF1" w:rsidRPr="00F57E05">
        <w:rPr>
          <w:b/>
        </w:rPr>
        <w:t>ии результатов кадастровой оценки</w:t>
      </w:r>
      <w:r w:rsidRPr="00F57E05">
        <w:rPr>
          <w:b/>
        </w:rPr>
        <w:t xml:space="preserve"> в Санкт-Петербурге</w:t>
      </w:r>
    </w:p>
    <w:p w:rsidR="00CC5C92" w:rsidRDefault="00CC5C92" w:rsidP="006B5666">
      <w:pPr>
        <w:jc w:val="both"/>
      </w:pPr>
      <w:r>
        <w:t xml:space="preserve">1. Оспаривание </w:t>
      </w:r>
      <w:proofErr w:type="gramStart"/>
      <w:r>
        <w:t>КО земельных участков</w:t>
      </w:r>
      <w:proofErr w:type="gramEnd"/>
      <w:r>
        <w:t>.</w:t>
      </w:r>
    </w:p>
    <w:p w:rsidR="00CC5C92" w:rsidRDefault="00CC5C92" w:rsidP="006B5666">
      <w:pPr>
        <w:jc w:val="both"/>
      </w:pPr>
      <w:r>
        <w:t>1.1. Сравнительный подход:</w:t>
      </w:r>
    </w:p>
    <w:p w:rsidR="00CC5C92" w:rsidRDefault="00CC5C92" w:rsidP="006B5666">
      <w:pPr>
        <w:jc w:val="both"/>
      </w:pPr>
      <w:r>
        <w:t xml:space="preserve">- расчет стоимости оцениваемого ЗУ проведен «построением </w:t>
      </w:r>
      <w:proofErr w:type="spellStart"/>
      <w:r>
        <w:t>квалиметрической</w:t>
      </w:r>
      <w:proofErr w:type="spellEnd"/>
      <w:r>
        <w:t xml:space="preserve"> модели» без учета всех существенно влияющих факторов и с кодировкой факторов в порядковой шкале. Такая реализация рассматривается теорией квалиметрии как недопустимая при решении задач оценки качества в шкале отношений (построении зависимости цена-качество);</w:t>
      </w:r>
    </w:p>
    <w:p w:rsidR="00CC5C92" w:rsidRDefault="00CC5C92" w:rsidP="006B5666">
      <w:pPr>
        <w:jc w:val="both"/>
      </w:pPr>
      <w:r>
        <w:t>- объекты-аналоги выбраны из других сегментов рынка.</w:t>
      </w:r>
    </w:p>
    <w:p w:rsidR="00CC5C92" w:rsidRDefault="00CC5C92" w:rsidP="006B5666">
      <w:pPr>
        <w:jc w:val="both"/>
      </w:pPr>
      <w:r>
        <w:t>1.2. Доходный подход:</w:t>
      </w:r>
    </w:p>
    <w:p w:rsidR="00CC5C92" w:rsidRDefault="00CC5C92" w:rsidP="006B5666">
      <w:pPr>
        <w:jc w:val="both"/>
      </w:pPr>
      <w:r>
        <w:t>- в расчетах учтен разрешенный вид использования, отличающийся от вида (видов) фактического использования;</w:t>
      </w:r>
    </w:p>
    <w:p w:rsidR="00CC5C92" w:rsidRDefault="00CC5C92" w:rsidP="006B5666">
      <w:pPr>
        <w:jc w:val="both"/>
      </w:pPr>
      <w:r>
        <w:t>- в расчете учтен один из видов фактическ</w:t>
      </w:r>
      <w:r w:rsidR="00496E3D">
        <w:t>ого использования, доходы от ост</w:t>
      </w:r>
      <w:r>
        <w:t>альных не учтены;</w:t>
      </w:r>
    </w:p>
    <w:p w:rsidR="00CC5C92" w:rsidRDefault="00CC5C92" w:rsidP="006B5666">
      <w:pPr>
        <w:jc w:val="both"/>
      </w:pPr>
      <w:r>
        <w:t xml:space="preserve">- технико-экономические параметры застройки ЗУ в рамках фактического вида (видов) использования выбраны без проведения анализа НЭИ (п.16 ФСО 7), предусматривающего поиск варианта, </w:t>
      </w:r>
      <w:proofErr w:type="spellStart"/>
      <w:r>
        <w:t>максимизирующего</w:t>
      </w:r>
      <w:proofErr w:type="spellEnd"/>
      <w:r>
        <w:t xml:space="preserve"> продуктивность ЗУ;</w:t>
      </w:r>
    </w:p>
    <w:p w:rsidR="00CC5C92" w:rsidRDefault="00CC5C92" w:rsidP="006B5666">
      <w:pPr>
        <w:jc w:val="both"/>
      </w:pPr>
      <w:r>
        <w:lastRenderedPageBreak/>
        <w:t>- при формировании затрат на строительство начислена прибыль предпринимателя;</w:t>
      </w:r>
    </w:p>
    <w:p w:rsidR="00CC5C92" w:rsidRDefault="00CC5C92" w:rsidP="006B5666">
      <w:pPr>
        <w:jc w:val="both"/>
      </w:pPr>
      <w:r>
        <w:t>- при определении РАП использованы аналоги из более низкого класса бизнес-центров (В, В-), нежели объект оценки (В+);</w:t>
      </w:r>
    </w:p>
    <w:p w:rsidR="00CC5C92" w:rsidRDefault="00CC5C92" w:rsidP="006B5666">
      <w:pPr>
        <w:jc w:val="both"/>
      </w:pPr>
      <w:r>
        <w:t xml:space="preserve">- при формировании чистого дохода вычтены операционные расходы, что противоречит использованию «чистых» </w:t>
      </w:r>
      <w:r w:rsidRPr="00CC5C92">
        <w:t>(</w:t>
      </w:r>
      <w:r>
        <w:rPr>
          <w:lang w:val="en-US"/>
        </w:rPr>
        <w:t>triple</w:t>
      </w:r>
      <w:r w:rsidRPr="00CC5C92">
        <w:t xml:space="preserve"> </w:t>
      </w:r>
      <w:r>
        <w:rPr>
          <w:lang w:val="en-US"/>
        </w:rPr>
        <w:t>net</w:t>
      </w:r>
      <w:r w:rsidRPr="00CC5C92">
        <w:t>)</w:t>
      </w:r>
      <w:r>
        <w:t xml:space="preserve"> арендных ставок;</w:t>
      </w:r>
    </w:p>
    <w:p w:rsidR="00CC5C92" w:rsidRDefault="00CC5C92" w:rsidP="006B5666">
      <w:pPr>
        <w:jc w:val="both"/>
      </w:pPr>
      <w:r>
        <w:t xml:space="preserve">- ставка дисконтирования определена на основе кумулятивной модели и «опроса экспертов» </w:t>
      </w:r>
      <w:r w:rsidR="00DB654D">
        <w:t>в размере, существенно превышающем доходности проектов по строительству и эксплуатации коммерческой недвижимости на дату оценки;</w:t>
      </w:r>
    </w:p>
    <w:p w:rsidR="00DB654D" w:rsidRDefault="00DB654D" w:rsidP="006B5666">
      <w:pPr>
        <w:jc w:val="both"/>
      </w:pPr>
      <w:r>
        <w:t>- капитализация потока доходов проведена по «реальной» ставке дисконтирования, причем долгосрочные темпы роста приняты по прогнозам темпов инфляции на ином рынке (потребительская корзина).</w:t>
      </w:r>
    </w:p>
    <w:p w:rsidR="00DB654D" w:rsidRDefault="00DB654D" w:rsidP="006B5666">
      <w:pPr>
        <w:jc w:val="both"/>
      </w:pPr>
      <w:r>
        <w:t xml:space="preserve">2. Оспаривание </w:t>
      </w:r>
      <w:proofErr w:type="gramStart"/>
      <w:r>
        <w:t>КО объектов</w:t>
      </w:r>
      <w:proofErr w:type="gramEnd"/>
      <w:r>
        <w:t xml:space="preserve"> капитального строительства.</w:t>
      </w:r>
    </w:p>
    <w:p w:rsidR="00DB654D" w:rsidRDefault="00DB654D" w:rsidP="006B5666">
      <w:pPr>
        <w:jc w:val="both"/>
      </w:pPr>
      <w:r>
        <w:t>2.1. Отказ от использования затратного подхода, свободного от погрешностей определения РС ЗУ, даже в качестве индикативного (п. 29 ФСО 7), представляется необоснованным.</w:t>
      </w:r>
    </w:p>
    <w:p w:rsidR="00DB654D" w:rsidRDefault="00DB654D" w:rsidP="006B5666">
      <w:pPr>
        <w:jc w:val="both"/>
      </w:pPr>
      <w:r>
        <w:t>2.2. Сравнительный подход:</w:t>
      </w:r>
    </w:p>
    <w:p w:rsidR="00DB654D" w:rsidRDefault="00DB654D" w:rsidP="006B5666">
      <w:pPr>
        <w:jc w:val="both"/>
      </w:pPr>
      <w:r>
        <w:t>- полученная в отчете РС ЗУ, вычитаемая из стоимости ОН, в несколько раз превышает кадастровую стоимость этого же ЗУ. Комментарием этому расхождению в отчете не дано;</w:t>
      </w:r>
    </w:p>
    <w:p w:rsidR="00DB654D" w:rsidRDefault="00DB654D" w:rsidP="006B5666">
      <w:pPr>
        <w:jc w:val="both"/>
      </w:pPr>
      <w:r>
        <w:t xml:space="preserve">- расчет стоимости ОН (ЗУ + ОКС) проведен «построением </w:t>
      </w:r>
      <w:proofErr w:type="spellStart"/>
      <w:r>
        <w:t>квалиметрической</w:t>
      </w:r>
      <w:proofErr w:type="spellEnd"/>
      <w:r>
        <w:t xml:space="preserve"> модели», см. выше п.п.1;</w:t>
      </w:r>
    </w:p>
    <w:p w:rsidR="00DB654D" w:rsidRDefault="00DB654D" w:rsidP="006B5666">
      <w:pPr>
        <w:jc w:val="both"/>
      </w:pPr>
      <w:r>
        <w:t>- при расчете РС ОН отобраны аналоги из других сегментов рынка;</w:t>
      </w:r>
    </w:p>
    <w:p w:rsidR="00DB654D" w:rsidRDefault="00DB654D" w:rsidP="006B5666">
      <w:pPr>
        <w:jc w:val="both"/>
      </w:pPr>
      <w:r>
        <w:t>2.3. Доходный подход:</w:t>
      </w:r>
    </w:p>
    <w:p w:rsidR="00DB654D" w:rsidRDefault="00DB654D" w:rsidP="006B5666">
      <w:pPr>
        <w:jc w:val="both"/>
      </w:pPr>
      <w:r>
        <w:t>- по ставке дисконтирования – см. п.1.2.</w:t>
      </w:r>
    </w:p>
    <w:p w:rsidR="00DB654D" w:rsidRDefault="00DB654D" w:rsidP="006B5666">
      <w:pPr>
        <w:jc w:val="both"/>
      </w:pPr>
      <w:r>
        <w:t>2.4. Затратный подход:</w:t>
      </w:r>
    </w:p>
    <w:p w:rsidR="00DB654D" w:rsidRDefault="00DB654D" w:rsidP="006B5666">
      <w:pPr>
        <w:jc w:val="both"/>
      </w:pPr>
      <w:r>
        <w:t>- выбран (ы) аналог (и) иной конструктивной системы и/или существенно иного объема, чем у оцениваемого здания; выбор не обоснован;</w:t>
      </w:r>
    </w:p>
    <w:p w:rsidR="00DB654D" w:rsidRDefault="00DB654D" w:rsidP="006B5666">
      <w:pPr>
        <w:jc w:val="both"/>
      </w:pPr>
      <w:r>
        <w:t>- выбор класса качества объектов-аналогов по справочнику КО-Инвест проведен с нарушением процедуры, оговоренной общей частью справочника, класс качества занижен;</w:t>
      </w:r>
    </w:p>
    <w:p w:rsidR="00DB654D" w:rsidRDefault="00DB654D" w:rsidP="006B5666">
      <w:pPr>
        <w:jc w:val="both"/>
      </w:pPr>
      <w:r>
        <w:t xml:space="preserve">- </w:t>
      </w:r>
      <w:r w:rsidRPr="00496E3D">
        <w:t>проведен</w:t>
      </w:r>
      <w:r>
        <w:t xml:space="preserve"> расчет функционального устаревания из-за несоответствия объектов современным требованиям, без конкретного указания требований для оцениваемого объекта;</w:t>
      </w:r>
    </w:p>
    <w:p w:rsidR="00DB654D" w:rsidRDefault="00DB654D" w:rsidP="006B5666">
      <w:pPr>
        <w:jc w:val="both"/>
      </w:pPr>
      <w:r>
        <w:t>- при расчете прибыли предпринимателя не учтены вмененные издержки, связанные с приобретением прав на ЗУ.</w:t>
      </w:r>
    </w:p>
    <w:p w:rsidR="00DB654D" w:rsidRDefault="00DB654D" w:rsidP="006B5666">
      <w:pPr>
        <w:jc w:val="both"/>
      </w:pPr>
      <w:r>
        <w:t>2.5. Согласование результатов</w:t>
      </w:r>
    </w:p>
    <w:p w:rsidR="00DB654D" w:rsidRDefault="00DB654D" w:rsidP="006B5666">
      <w:pPr>
        <w:jc w:val="both"/>
      </w:pPr>
      <w:r>
        <w:t>- затратному подходу, свободному от погрешности определения РС ЗУ присвоен существенно меньший или нулевой вес; выбор весов не обоснован;</w:t>
      </w:r>
    </w:p>
    <w:p w:rsidR="00DB654D" w:rsidRDefault="00DB654D" w:rsidP="006B5666">
      <w:pPr>
        <w:jc w:val="both"/>
      </w:pPr>
      <w:r>
        <w:t>2.6. Общее замечание:</w:t>
      </w:r>
    </w:p>
    <w:p w:rsidR="00DB654D" w:rsidRDefault="00DB654D" w:rsidP="006B5666">
      <w:pPr>
        <w:jc w:val="both"/>
      </w:pPr>
      <w:r>
        <w:t>Оценщики готовят отчеты по оценке РС для споров (комиссия, суд) так же, как привыкли их готовить для заказчика. Отсюда – масса оснований для мелких замечаний, «работающих» против отчета в глазах членов комиссии.</w:t>
      </w:r>
    </w:p>
    <w:p w:rsidR="00DB654D" w:rsidRPr="00F57E05" w:rsidRDefault="00DB654D" w:rsidP="006B5666">
      <w:pPr>
        <w:jc w:val="both"/>
        <w:rPr>
          <w:b/>
        </w:rPr>
      </w:pPr>
      <w:r w:rsidRPr="00F57E05">
        <w:rPr>
          <w:b/>
          <w:lang w:val="en-US"/>
        </w:rPr>
        <w:lastRenderedPageBreak/>
        <w:t>IV</w:t>
      </w:r>
      <w:r w:rsidRPr="00F57E05">
        <w:rPr>
          <w:b/>
        </w:rPr>
        <w:t>. Общие вопросы функционирования комиссий по оспариванию</w:t>
      </w:r>
    </w:p>
    <w:p w:rsidR="00DB654D" w:rsidRDefault="00DB654D" w:rsidP="006B5666">
      <w:pPr>
        <w:jc w:val="both"/>
      </w:pPr>
      <w:r>
        <w:t>1. Место в процессе оспаривания – досудебное урегулирование. Однако нормы функционирования комиссий не согласованы с нормами рассмотрения этих же споров в суде (см., например, Постановление Пленума Верховного Суда РФ от 30.06.2015 №28).</w:t>
      </w:r>
    </w:p>
    <w:p w:rsidR="00DB654D" w:rsidRDefault="00DB654D" w:rsidP="006B5666">
      <w:pPr>
        <w:jc w:val="both"/>
      </w:pPr>
      <w:r>
        <w:t>2. Отсутствие (необязательность) состязательности при определении соответствия «требованиям, установленным статье 11 Федерального закона, требованиям к содержанию отчета об оценке, к описанию в отчете об оценке информации, используемой при проведении оценки, установленным федеральными стандартами оценки».</w:t>
      </w:r>
    </w:p>
    <w:p w:rsidR="00DB654D" w:rsidRDefault="00DB654D" w:rsidP="006B5666">
      <w:pPr>
        <w:jc w:val="both"/>
      </w:pPr>
      <w:r>
        <w:t>3. Неопределенность основы для принятия решений комиссией: с одной стороны – п.12 Порядка: голосование («присяжные заседатели», голосование по убеждению), с другой – п.20: «комиссия принимает решение», если отчет об оценке соответствует.</w:t>
      </w:r>
    </w:p>
    <w:p w:rsidR="00DB654D" w:rsidRDefault="00DB654D" w:rsidP="006B5666">
      <w:pPr>
        <w:jc w:val="both"/>
      </w:pPr>
      <w:r>
        <w:t>4. Работа членов комиссий «на общественных началах», привод</w:t>
      </w:r>
      <w:r w:rsidR="006B5666">
        <w:t>ящая в условиях высокой нагрузки к повышенным рискам отклонения вполне «достоверных» отчетов.</w:t>
      </w:r>
    </w:p>
    <w:p w:rsidR="006B5666" w:rsidRDefault="006B5666" w:rsidP="006B5666">
      <w:pPr>
        <w:jc w:val="both"/>
      </w:pPr>
      <w:r>
        <w:t>Вместе с тем комиссии как место сопоставления различных оценок нужны. Прежде всего – для выявления ошибок</w:t>
      </w:r>
      <w:bookmarkStart w:id="0" w:name="_GoBack"/>
      <w:bookmarkEnd w:id="0"/>
      <w:r>
        <w:t xml:space="preserve"> и недостатков проведения кадастровой оценки. Но также – для выявления недостатков оценок рыночных стоимостей.</w:t>
      </w:r>
    </w:p>
    <w:p w:rsidR="006B5666" w:rsidRPr="006B5666" w:rsidRDefault="006B5666">
      <w:pPr>
        <w:rPr>
          <w:i/>
        </w:rPr>
      </w:pPr>
      <w:r w:rsidRPr="006B5666">
        <w:rPr>
          <w:i/>
        </w:rPr>
        <w:t>Николай Баринов</w:t>
      </w:r>
    </w:p>
    <w:p w:rsidR="006B5666" w:rsidRPr="006B5666" w:rsidRDefault="006B5666">
      <w:pPr>
        <w:rPr>
          <w:i/>
        </w:rPr>
      </w:pPr>
      <w:r w:rsidRPr="006B5666">
        <w:rPr>
          <w:i/>
        </w:rPr>
        <w:t>17.03.2016</w:t>
      </w:r>
    </w:p>
    <w:sectPr w:rsidR="006B5666" w:rsidRPr="006B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2"/>
    <w:rsid w:val="00150C9A"/>
    <w:rsid w:val="003A3DF1"/>
    <w:rsid w:val="00496E3D"/>
    <w:rsid w:val="006B5666"/>
    <w:rsid w:val="00CC5C92"/>
    <w:rsid w:val="00CD2846"/>
    <w:rsid w:val="00DB654D"/>
    <w:rsid w:val="00F5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8F95-FA6B-4A67-A973-E392518C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/wps/portal/cc_ib_svedFDGKO" TargetMode="External"/><Relationship Id="rId4" Type="http://schemas.openxmlformats.org/officeDocument/2006/relationships/hyperlink" Target="https://rosreestr.ru/site/activity/rassmotrenie-sporov-o-rezultatakh-opredeleniya-kadastrovoy-stoimosti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Чеснокова</dc:creator>
  <cp:keywords/>
  <dc:description/>
  <cp:lastModifiedBy>Маша Чеснокова</cp:lastModifiedBy>
  <cp:revision>2</cp:revision>
  <dcterms:created xsi:type="dcterms:W3CDTF">2016-03-21T10:07:00Z</dcterms:created>
  <dcterms:modified xsi:type="dcterms:W3CDTF">2016-03-21T10:07:00Z</dcterms:modified>
</cp:coreProperties>
</file>