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82CBF" w14:textId="2E079297" w:rsidR="009D348D" w:rsidRDefault="009D348D" w:rsidP="009D348D">
      <w:pPr>
        <w:rPr>
          <w:b/>
          <w:bCs/>
          <w:sz w:val="28"/>
          <w:szCs w:val="28"/>
        </w:rPr>
      </w:pPr>
      <w:r w:rsidRPr="009D348D">
        <w:rPr>
          <w:b/>
          <w:bCs/>
          <w:noProof/>
          <w:sz w:val="28"/>
          <w:szCs w:val="28"/>
        </w:rPr>
        <w:drawing>
          <wp:inline distT="0" distB="0" distL="0" distR="0" wp14:anchorId="738F6AFE" wp14:editId="60087EB1">
            <wp:extent cx="2774728" cy="811477"/>
            <wp:effectExtent l="0" t="0" r="6985" b="8255"/>
            <wp:docPr id="14" name="Picture 2" descr="C:\Users\Ильин МО\Desktop\Картинки\logo.png">
              <a:extLst xmlns:a="http://schemas.openxmlformats.org/drawingml/2006/main">
                <a:ext uri="{FF2B5EF4-FFF2-40B4-BE49-F238E27FC236}">
                  <a16:creationId xmlns:a16="http://schemas.microsoft.com/office/drawing/2014/main" id="{9EFFD5BA-7178-47EB-86BB-9F19C8E1EE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C:\Users\Ильин МО\Desktop\Картинки\logo.png">
                      <a:extLst>
                        <a:ext uri="{FF2B5EF4-FFF2-40B4-BE49-F238E27FC236}">
                          <a16:creationId xmlns:a16="http://schemas.microsoft.com/office/drawing/2014/main" id="{9EFFD5BA-7178-47EB-86BB-9F19C8E1EE6E}"/>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4728" cy="81147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EE278C1" w14:textId="77777777" w:rsidR="00DD59D4" w:rsidRDefault="00B36EEB" w:rsidP="00DD59D4">
      <w:pPr>
        <w:spacing w:after="0"/>
        <w:jc w:val="center"/>
        <w:rPr>
          <w:b/>
          <w:bCs/>
          <w:sz w:val="32"/>
          <w:szCs w:val="32"/>
        </w:rPr>
      </w:pPr>
      <w:r>
        <w:rPr>
          <w:b/>
          <w:bCs/>
          <w:sz w:val="32"/>
          <w:szCs w:val="32"/>
        </w:rPr>
        <w:t>Ф</w:t>
      </w:r>
      <w:r w:rsidR="009D348D" w:rsidRPr="00742CEB">
        <w:rPr>
          <w:b/>
          <w:bCs/>
          <w:sz w:val="32"/>
          <w:szCs w:val="32"/>
        </w:rPr>
        <w:t>ОРМИРОВАНИ</w:t>
      </w:r>
      <w:r>
        <w:rPr>
          <w:b/>
          <w:bCs/>
          <w:sz w:val="32"/>
          <w:szCs w:val="32"/>
        </w:rPr>
        <w:t>Е</w:t>
      </w:r>
      <w:r w:rsidR="009D348D" w:rsidRPr="00742CEB">
        <w:rPr>
          <w:b/>
          <w:bCs/>
          <w:sz w:val="32"/>
          <w:szCs w:val="32"/>
        </w:rPr>
        <w:t xml:space="preserve"> </w:t>
      </w:r>
      <w:r w:rsidR="0054477B" w:rsidRPr="00742CEB">
        <w:rPr>
          <w:b/>
          <w:bCs/>
          <w:sz w:val="32"/>
          <w:szCs w:val="32"/>
        </w:rPr>
        <w:t>ЗАДАНИЯ НА ОЦЕНКУ</w:t>
      </w:r>
    </w:p>
    <w:p w14:paraId="2B8F4660" w14:textId="013F654D" w:rsidR="008552C2" w:rsidRPr="00742CEB" w:rsidRDefault="00B36EEB" w:rsidP="00DD59D4">
      <w:pPr>
        <w:spacing w:after="0"/>
        <w:jc w:val="center"/>
        <w:rPr>
          <w:b/>
          <w:bCs/>
          <w:sz w:val="32"/>
          <w:szCs w:val="32"/>
        </w:rPr>
      </w:pPr>
      <w:r>
        <w:rPr>
          <w:b/>
          <w:bCs/>
          <w:sz w:val="32"/>
          <w:szCs w:val="32"/>
        </w:rPr>
        <w:t>ПО ФСО 2022</w:t>
      </w:r>
    </w:p>
    <w:p w14:paraId="239267E2" w14:textId="77777777" w:rsidR="003D73AA" w:rsidRPr="009D348D" w:rsidRDefault="0054477B" w:rsidP="003D73AA">
      <w:pPr>
        <w:pStyle w:val="a7"/>
        <w:numPr>
          <w:ilvl w:val="0"/>
          <w:numId w:val="1"/>
        </w:numPr>
        <w:spacing w:before="120" w:after="120"/>
        <w:ind w:left="714" w:hanging="357"/>
        <w:jc w:val="both"/>
      </w:pPr>
      <w:r w:rsidRPr="009D348D">
        <w:t xml:space="preserve">Информация актуальна по состоянию на </w:t>
      </w:r>
      <w:r w:rsidR="003D73AA">
        <w:t>25</w:t>
      </w:r>
      <w:r w:rsidRPr="009D348D">
        <w:t>.10.2022</w:t>
      </w:r>
      <w:r w:rsidR="00C11CD2">
        <w:t xml:space="preserve">. </w:t>
      </w:r>
      <w:r w:rsidR="003D73AA">
        <w:t xml:space="preserve">На указанную дату отсутствует практика применения ФСО </w:t>
      </w:r>
      <w:proofErr w:type="gramStart"/>
      <w:r w:rsidR="003D73AA">
        <w:rPr>
          <w:lang w:val="en-US"/>
        </w:rPr>
        <w:t>I</w:t>
      </w:r>
      <w:r w:rsidR="003D73AA" w:rsidRPr="00C11CD2">
        <w:t>-</w:t>
      </w:r>
      <w:r w:rsidR="003D73AA">
        <w:rPr>
          <w:lang w:val="en-US"/>
        </w:rPr>
        <w:t>VI</w:t>
      </w:r>
      <w:proofErr w:type="gramEnd"/>
      <w:r w:rsidR="003D73AA" w:rsidRPr="00C11CD2">
        <w:t xml:space="preserve">, </w:t>
      </w:r>
      <w:r w:rsidR="003D73AA">
        <w:t>в т.ч. соответствующая судебная практика. Настоящий материал будет актуализироваться по мере появления указанной практики.</w:t>
      </w:r>
    </w:p>
    <w:p w14:paraId="42A80366" w14:textId="77777777" w:rsidR="003D73AA" w:rsidRDefault="003D73AA" w:rsidP="003D73AA">
      <w:pPr>
        <w:pStyle w:val="a7"/>
        <w:numPr>
          <w:ilvl w:val="0"/>
          <w:numId w:val="1"/>
        </w:numPr>
        <w:jc w:val="both"/>
      </w:pPr>
      <w:r w:rsidRPr="009D348D">
        <w:t xml:space="preserve">Материал учитывает только положения общих стандартов </w:t>
      </w:r>
      <w:r>
        <w:t xml:space="preserve">оценки </w:t>
      </w:r>
      <w:r w:rsidRPr="009D348D">
        <w:t xml:space="preserve">(ФСО </w:t>
      </w:r>
      <w:proofErr w:type="gramStart"/>
      <w:r w:rsidRPr="009D348D">
        <w:rPr>
          <w:lang w:val="en-US"/>
        </w:rPr>
        <w:t>I</w:t>
      </w:r>
      <w:r w:rsidRPr="009D348D">
        <w:t>-</w:t>
      </w:r>
      <w:r w:rsidRPr="009D348D">
        <w:rPr>
          <w:lang w:val="en-US"/>
        </w:rPr>
        <w:t>VI</w:t>
      </w:r>
      <w:proofErr w:type="gramEnd"/>
      <w:r w:rsidRPr="009D348D">
        <w:t>), дополнительно необходим учет положений специальных стандартов в</w:t>
      </w:r>
      <w:r>
        <w:t> </w:t>
      </w:r>
      <w:r w:rsidRPr="009D348D">
        <w:t>зависимости от вида объекта оценки.</w:t>
      </w:r>
    </w:p>
    <w:p w14:paraId="42972B2C" w14:textId="77777777" w:rsidR="003D73AA" w:rsidRPr="009D348D" w:rsidRDefault="003D73AA" w:rsidP="003D73AA">
      <w:pPr>
        <w:pStyle w:val="a7"/>
        <w:numPr>
          <w:ilvl w:val="0"/>
          <w:numId w:val="1"/>
        </w:numPr>
        <w:jc w:val="both"/>
      </w:pPr>
      <w:r>
        <w:t xml:space="preserve">Согласно п. 2 ФСО </w:t>
      </w:r>
      <w:r w:rsidRPr="00C411E6">
        <w:t xml:space="preserve">IV </w:t>
      </w:r>
      <w:r>
        <w:t>«</w:t>
      </w:r>
      <w:r w:rsidRPr="00C411E6">
        <w:t>Уточнение задания на оценку может продолжаться в течение процесса оценки до составления отчета об оценке</w:t>
      </w:r>
      <w:r>
        <w:t>»</w:t>
      </w:r>
      <w:r w:rsidRPr="00C411E6">
        <w:t>.</w:t>
      </w:r>
    </w:p>
    <w:p w14:paraId="3C600150" w14:textId="77777777" w:rsidR="003D73AA" w:rsidRDefault="003D73AA" w:rsidP="003D73AA">
      <w:pPr>
        <w:pStyle w:val="a7"/>
        <w:numPr>
          <w:ilvl w:val="0"/>
          <w:numId w:val="1"/>
        </w:numPr>
        <w:jc w:val="both"/>
      </w:pPr>
      <w:r>
        <w:t xml:space="preserve">Этот материал – </w:t>
      </w:r>
      <w:r w:rsidRPr="009D348D">
        <w:t>пример</w:t>
      </w:r>
      <w:r>
        <w:t>,</w:t>
      </w:r>
      <w:r w:rsidRPr="009D348D">
        <w:t xml:space="preserve"> </w:t>
      </w:r>
      <w:r w:rsidRPr="003637DC">
        <w:rPr>
          <w:b/>
          <w:bCs/>
        </w:rPr>
        <w:t>не образец</w:t>
      </w:r>
      <w:r>
        <w:t>.</w:t>
      </w:r>
      <w:r w:rsidRPr="009D348D">
        <w:t xml:space="preserve"> Содержание реального задания на оценку подлежит корректировке с учетом фактических обстоятельств.</w:t>
      </w:r>
    </w:p>
    <w:tbl>
      <w:tblPr>
        <w:tblStyle w:val="a3"/>
        <w:tblW w:w="0" w:type="auto"/>
        <w:tblLook w:val="04A0" w:firstRow="1" w:lastRow="0" w:firstColumn="1" w:lastColumn="0" w:noHBand="0" w:noVBand="1"/>
      </w:tblPr>
      <w:tblGrid>
        <w:gridCol w:w="562"/>
        <w:gridCol w:w="2552"/>
        <w:gridCol w:w="6095"/>
        <w:gridCol w:w="5351"/>
      </w:tblGrid>
      <w:tr w:rsidR="003D73AA" w14:paraId="466062B6" w14:textId="77777777" w:rsidTr="007B68F4">
        <w:trPr>
          <w:tblHeader/>
        </w:trPr>
        <w:tc>
          <w:tcPr>
            <w:tcW w:w="562" w:type="dxa"/>
            <w:shd w:val="clear" w:color="auto" w:fill="D9D9D9" w:themeFill="background1" w:themeFillShade="D9"/>
            <w:vAlign w:val="center"/>
          </w:tcPr>
          <w:p w14:paraId="4A1F3B18" w14:textId="77777777" w:rsidR="003D73AA" w:rsidRPr="0054477B" w:rsidRDefault="003D73AA" w:rsidP="007B68F4">
            <w:pPr>
              <w:jc w:val="center"/>
              <w:rPr>
                <w:b/>
                <w:bCs/>
              </w:rPr>
            </w:pPr>
            <w:r w:rsidRPr="0054477B">
              <w:rPr>
                <w:b/>
                <w:bCs/>
              </w:rPr>
              <w:t>№ п</w:t>
            </w:r>
            <w:r w:rsidRPr="0054477B">
              <w:rPr>
                <w:b/>
                <w:bCs/>
                <w:lang w:val="en-US"/>
              </w:rPr>
              <w:t>/</w:t>
            </w:r>
            <w:r w:rsidRPr="0054477B">
              <w:rPr>
                <w:b/>
                <w:bCs/>
              </w:rPr>
              <w:t>п</w:t>
            </w:r>
          </w:p>
        </w:tc>
        <w:tc>
          <w:tcPr>
            <w:tcW w:w="2552" w:type="dxa"/>
            <w:shd w:val="clear" w:color="auto" w:fill="D9D9D9" w:themeFill="background1" w:themeFillShade="D9"/>
            <w:vAlign w:val="center"/>
          </w:tcPr>
          <w:p w14:paraId="2B2AEA2D" w14:textId="77777777" w:rsidR="003D73AA" w:rsidRPr="0054477B" w:rsidRDefault="003D73AA" w:rsidP="007B68F4">
            <w:pPr>
              <w:jc w:val="center"/>
              <w:rPr>
                <w:b/>
                <w:bCs/>
              </w:rPr>
            </w:pPr>
            <w:r w:rsidRPr="0054477B">
              <w:rPr>
                <w:b/>
                <w:bCs/>
              </w:rPr>
              <w:t>Параметр</w:t>
            </w:r>
          </w:p>
        </w:tc>
        <w:tc>
          <w:tcPr>
            <w:tcW w:w="6095" w:type="dxa"/>
            <w:shd w:val="clear" w:color="auto" w:fill="D9D9D9" w:themeFill="background1" w:themeFillShade="D9"/>
            <w:vAlign w:val="center"/>
          </w:tcPr>
          <w:p w14:paraId="28668DC0" w14:textId="77777777" w:rsidR="003D73AA" w:rsidRPr="0054477B" w:rsidRDefault="003D73AA" w:rsidP="007B68F4">
            <w:pPr>
              <w:jc w:val="center"/>
              <w:rPr>
                <w:b/>
                <w:bCs/>
              </w:rPr>
            </w:pPr>
            <w:r w:rsidRPr="0054477B">
              <w:rPr>
                <w:b/>
                <w:bCs/>
              </w:rPr>
              <w:t>Комментарий</w:t>
            </w:r>
          </w:p>
        </w:tc>
        <w:tc>
          <w:tcPr>
            <w:tcW w:w="5351" w:type="dxa"/>
            <w:shd w:val="clear" w:color="auto" w:fill="D9D9D9" w:themeFill="background1" w:themeFillShade="D9"/>
            <w:vAlign w:val="center"/>
          </w:tcPr>
          <w:p w14:paraId="0158CA95" w14:textId="77777777" w:rsidR="003D73AA" w:rsidRPr="0054477B" w:rsidRDefault="003D73AA" w:rsidP="007B68F4">
            <w:pPr>
              <w:jc w:val="center"/>
              <w:rPr>
                <w:b/>
                <w:bCs/>
              </w:rPr>
            </w:pPr>
            <w:r w:rsidRPr="0054477B">
              <w:rPr>
                <w:b/>
                <w:bCs/>
              </w:rPr>
              <w:t>Пример заполнения</w:t>
            </w:r>
          </w:p>
        </w:tc>
      </w:tr>
      <w:tr w:rsidR="003D73AA" w14:paraId="75D5E418" w14:textId="77777777" w:rsidTr="007B68F4">
        <w:tc>
          <w:tcPr>
            <w:tcW w:w="14560" w:type="dxa"/>
            <w:gridSpan w:val="4"/>
          </w:tcPr>
          <w:p w14:paraId="7AB7BCE0" w14:textId="77777777" w:rsidR="003D73AA" w:rsidRPr="0054477B" w:rsidRDefault="003D73AA" w:rsidP="007B68F4">
            <w:pPr>
              <w:jc w:val="center"/>
              <w:rPr>
                <w:i/>
                <w:iCs/>
              </w:rPr>
            </w:pPr>
            <w:r w:rsidRPr="0054477B">
              <w:rPr>
                <w:i/>
                <w:iCs/>
              </w:rPr>
              <w:t>Обязательные элементы</w:t>
            </w:r>
            <w:r>
              <w:rPr>
                <w:rStyle w:val="a6"/>
                <w:i/>
                <w:iCs/>
              </w:rPr>
              <w:footnoteReference w:id="1"/>
            </w:r>
          </w:p>
        </w:tc>
      </w:tr>
      <w:tr w:rsidR="003D73AA" w14:paraId="7685E860" w14:textId="77777777" w:rsidTr="007B68F4">
        <w:tc>
          <w:tcPr>
            <w:tcW w:w="562" w:type="dxa"/>
          </w:tcPr>
          <w:p w14:paraId="299C5D56" w14:textId="77777777" w:rsidR="003D73AA" w:rsidRDefault="003D73AA" w:rsidP="007B68F4">
            <w:pPr>
              <w:jc w:val="center"/>
            </w:pPr>
            <w:r>
              <w:t>1</w:t>
            </w:r>
          </w:p>
        </w:tc>
        <w:tc>
          <w:tcPr>
            <w:tcW w:w="2552" w:type="dxa"/>
          </w:tcPr>
          <w:p w14:paraId="6EB58661" w14:textId="77777777" w:rsidR="003D73AA" w:rsidRDefault="003D73AA" w:rsidP="007B68F4">
            <w:r>
              <w:t>Объект оценки, включая права на объект оценки</w:t>
            </w:r>
          </w:p>
        </w:tc>
        <w:tc>
          <w:tcPr>
            <w:tcW w:w="6095" w:type="dxa"/>
          </w:tcPr>
          <w:p w14:paraId="44F124C9" w14:textId="77777777" w:rsidR="003D73AA" w:rsidRPr="009D348D" w:rsidRDefault="003D73AA" w:rsidP="007B68F4">
            <w:pPr>
              <w:jc w:val="both"/>
            </w:pPr>
            <w:r>
              <w:t xml:space="preserve">Идентификация объекта оценки проводится на основе присущих ему количественных и качественных характеристик с учетом описания прав на объект оценки, учитываемых при определении стоимости, и связанных с ними ограничений и обременений. Требования к идентификации объекта оценки по отдельным видам объектов оценки устанавливаются соответствующими специальными ФСО </w:t>
            </w:r>
            <w:r w:rsidRPr="009D348D">
              <w:t>(</w:t>
            </w:r>
            <w:proofErr w:type="spellStart"/>
            <w:r>
              <w:t>п.п</w:t>
            </w:r>
            <w:proofErr w:type="spellEnd"/>
            <w:r>
              <w:t>. 1 п. 3 ФСО </w:t>
            </w:r>
            <w:r>
              <w:rPr>
                <w:lang w:val="en-US"/>
              </w:rPr>
              <w:t>IV</w:t>
            </w:r>
            <w:r>
              <w:t>).</w:t>
            </w:r>
          </w:p>
          <w:p w14:paraId="721CFC12" w14:textId="77777777" w:rsidR="003D73AA" w:rsidRDefault="003D73AA" w:rsidP="007B68F4">
            <w:pPr>
              <w:spacing w:before="120"/>
              <w:jc w:val="both"/>
            </w:pPr>
            <w:r>
              <w:t>Если оценщик использовал специальное допущение, то данный факт должен быть отражен в формулировке объекта оценки (п. 5 ФСО I</w:t>
            </w:r>
            <w:r>
              <w:rPr>
                <w:lang w:val="en-US"/>
              </w:rPr>
              <w:t>II</w:t>
            </w:r>
            <w:r w:rsidRPr="009D348D">
              <w:t>)</w:t>
            </w:r>
            <w:r>
              <w:t>.</w:t>
            </w:r>
          </w:p>
          <w:p w14:paraId="5CFF4290" w14:textId="77777777" w:rsidR="003D73AA" w:rsidRDefault="003D73AA" w:rsidP="007B68F4">
            <w:pPr>
              <w:spacing w:before="120"/>
              <w:jc w:val="both"/>
            </w:pPr>
            <w:r>
              <w:t>Объект оценки должен быть однозначно идентифицирован с учетом:</w:t>
            </w:r>
          </w:p>
          <w:p w14:paraId="47A96A40" w14:textId="77777777" w:rsidR="003D73AA" w:rsidRDefault="003D73AA" w:rsidP="007B68F4">
            <w:pPr>
              <w:pStyle w:val="a7"/>
              <w:numPr>
                <w:ilvl w:val="0"/>
                <w:numId w:val="8"/>
              </w:numPr>
              <w:ind w:left="458"/>
              <w:jc w:val="both"/>
            </w:pPr>
            <w:r>
              <w:lastRenderedPageBreak/>
              <w:t>требований специальных стандартов оценки (например,</w:t>
            </w:r>
            <w:r>
              <w:br/>
              <w:t>п. 5 ФСО 8);</w:t>
            </w:r>
          </w:p>
          <w:p w14:paraId="495DEE38" w14:textId="77777777" w:rsidR="003D73AA" w:rsidRPr="009D348D" w:rsidRDefault="003D73AA" w:rsidP="007B68F4">
            <w:pPr>
              <w:pStyle w:val="a7"/>
              <w:numPr>
                <w:ilvl w:val="0"/>
                <w:numId w:val="8"/>
              </w:numPr>
              <w:ind w:left="458"/>
              <w:jc w:val="both"/>
            </w:pPr>
            <w:r>
              <w:t>фактических обстоятельств и имеющейся информации (например, наличия кадастрового номера либо иных идентифицирующих признаков).</w:t>
            </w:r>
          </w:p>
        </w:tc>
        <w:tc>
          <w:tcPr>
            <w:tcW w:w="5351" w:type="dxa"/>
          </w:tcPr>
          <w:p w14:paraId="3388B36F" w14:textId="77777777" w:rsidR="003D73AA" w:rsidRDefault="003D73AA" w:rsidP="007B68F4">
            <w:pPr>
              <w:jc w:val="both"/>
            </w:pPr>
            <w:r>
              <w:lastRenderedPageBreak/>
              <w:t>Пример 1. Нежилое здание общей площадью 1200 </w:t>
            </w:r>
            <w:proofErr w:type="spellStart"/>
            <w:proofErr w:type="gramStart"/>
            <w:r>
              <w:t>кв.м</w:t>
            </w:r>
            <w:proofErr w:type="spellEnd"/>
            <w:proofErr w:type="gramEnd"/>
            <w:r w:rsidRPr="004B0114">
              <w:t xml:space="preserve"> (</w:t>
            </w:r>
            <w:r>
              <w:t xml:space="preserve">кадастровый номер …), расположенное на земельном участке площадью 820 </w:t>
            </w:r>
            <w:proofErr w:type="spellStart"/>
            <w:r>
              <w:t>кв.м</w:t>
            </w:r>
            <w:proofErr w:type="spellEnd"/>
            <w:r>
              <w:t xml:space="preserve"> по адресу: г.</w:t>
            </w:r>
            <w:r>
              <w:rPr>
                <w:lang w:val="en-US"/>
              </w:rPr>
              <w:t> </w:t>
            </w:r>
            <w:proofErr w:type="spellStart"/>
            <w:r>
              <w:t>Тамбофф</w:t>
            </w:r>
            <w:proofErr w:type="spellEnd"/>
            <w:r>
              <w:t>, пр-т Мира, д. 7 (кадастровый номер …).</w:t>
            </w:r>
          </w:p>
          <w:p w14:paraId="1E58820B" w14:textId="77777777" w:rsidR="003D73AA" w:rsidRDefault="003D73AA" w:rsidP="007B68F4">
            <w:pPr>
              <w:jc w:val="both"/>
            </w:pPr>
            <w:r>
              <w:t>Право собственности на здание, право аренды на земельный участок.</w:t>
            </w:r>
          </w:p>
          <w:p w14:paraId="448195DF" w14:textId="77777777" w:rsidR="003D73AA" w:rsidRDefault="003D73AA" w:rsidP="007B68F4">
            <w:pPr>
              <w:spacing w:before="120"/>
              <w:jc w:val="both"/>
            </w:pPr>
            <w:r>
              <w:t>Пример 2. Нежилое здание общей площадью 1200 </w:t>
            </w:r>
            <w:proofErr w:type="spellStart"/>
            <w:r>
              <w:t>кв.м</w:t>
            </w:r>
            <w:proofErr w:type="spellEnd"/>
            <w:r>
              <w:t xml:space="preserve"> </w:t>
            </w:r>
            <w:r w:rsidRPr="004B0114">
              <w:t>(</w:t>
            </w:r>
            <w:r>
              <w:t xml:space="preserve">кадастровый номер …), расположенное на земельном участке площадью 820 </w:t>
            </w:r>
            <w:proofErr w:type="spellStart"/>
            <w:r>
              <w:t>кв.м</w:t>
            </w:r>
            <w:proofErr w:type="spellEnd"/>
            <w:r>
              <w:t xml:space="preserve"> по адресу: г.</w:t>
            </w:r>
            <w:r>
              <w:rPr>
                <w:lang w:val="en-US"/>
              </w:rPr>
              <w:t> </w:t>
            </w:r>
            <w:proofErr w:type="spellStart"/>
            <w:r>
              <w:t>Тамбофф</w:t>
            </w:r>
            <w:proofErr w:type="spellEnd"/>
            <w:r>
              <w:t>, пр-т Мира, д. 7 (кадастровый номер …), без учета обременения долгосрочным договором аренды от 01.01.2010 №1.</w:t>
            </w:r>
          </w:p>
          <w:p w14:paraId="3A5F567E" w14:textId="77777777" w:rsidR="003D73AA" w:rsidRDefault="003D73AA" w:rsidP="007B68F4">
            <w:r>
              <w:t>Право собственности на здание, право аренды на земельный участок.</w:t>
            </w:r>
          </w:p>
        </w:tc>
      </w:tr>
      <w:tr w:rsidR="003D73AA" w14:paraId="6D5412DD" w14:textId="77777777" w:rsidTr="007B68F4">
        <w:tc>
          <w:tcPr>
            <w:tcW w:w="562" w:type="dxa"/>
          </w:tcPr>
          <w:p w14:paraId="0A30AB75" w14:textId="77777777" w:rsidR="003D73AA" w:rsidRDefault="003D73AA" w:rsidP="007B68F4">
            <w:pPr>
              <w:jc w:val="center"/>
            </w:pPr>
            <w:r>
              <w:lastRenderedPageBreak/>
              <w:t>2</w:t>
            </w:r>
          </w:p>
        </w:tc>
        <w:tc>
          <w:tcPr>
            <w:tcW w:w="2552" w:type="dxa"/>
          </w:tcPr>
          <w:p w14:paraId="082E4F4B" w14:textId="77777777" w:rsidR="003D73AA" w:rsidRPr="00234E06" w:rsidRDefault="003D73AA" w:rsidP="007B68F4">
            <w:r w:rsidRPr="00234E06">
              <w:t>Цель оценки</w:t>
            </w:r>
          </w:p>
        </w:tc>
        <w:tc>
          <w:tcPr>
            <w:tcW w:w="6095" w:type="dxa"/>
          </w:tcPr>
          <w:p w14:paraId="73A4B507" w14:textId="77777777" w:rsidR="003D73AA" w:rsidRDefault="003D73AA" w:rsidP="007B68F4">
            <w:pPr>
              <w:pStyle w:val="a7"/>
              <w:numPr>
                <w:ilvl w:val="0"/>
                <w:numId w:val="8"/>
              </w:numPr>
              <w:ind w:left="458"/>
              <w:jc w:val="both"/>
            </w:pPr>
            <w:r>
              <w:t>Д</w:t>
            </w:r>
            <w:r w:rsidRPr="00234E06">
              <w:t>олжна быть установлена однозначно для определения предпосылок стоимости</w:t>
            </w:r>
            <w:r>
              <w:t>.</w:t>
            </w:r>
          </w:p>
          <w:p w14:paraId="10C1C402" w14:textId="77777777" w:rsidR="003D73AA" w:rsidRDefault="003D73AA" w:rsidP="007B68F4">
            <w:pPr>
              <w:pStyle w:val="a7"/>
              <w:numPr>
                <w:ilvl w:val="0"/>
                <w:numId w:val="8"/>
              </w:numPr>
              <w:ind w:left="458"/>
              <w:jc w:val="both"/>
            </w:pPr>
            <w:r>
              <w:t>Ц</w:t>
            </w:r>
            <w:r w:rsidRPr="00234E06">
              <w:t>ель оценки должна сопровождаться указанием ссылок на конкретные положения нормативных правовых актов Р</w:t>
            </w:r>
            <w:r>
              <w:t>Ф</w:t>
            </w:r>
            <w:r w:rsidRPr="00234E06">
              <w:t>, в</w:t>
            </w:r>
            <w:r>
              <w:t> </w:t>
            </w:r>
            <w:r w:rsidRPr="00234E06">
              <w:t>связи с которыми возникла необходимость проведения оценки (если применимо) (</w:t>
            </w:r>
            <w:proofErr w:type="spellStart"/>
            <w:r w:rsidRPr="00234E06">
              <w:t>п.п</w:t>
            </w:r>
            <w:proofErr w:type="spellEnd"/>
            <w:r w:rsidRPr="00234E06">
              <w:t>. 2 п.</w:t>
            </w:r>
            <w:r>
              <w:t> </w:t>
            </w:r>
            <w:r w:rsidRPr="00234E06">
              <w:t xml:space="preserve">3 ФСО </w:t>
            </w:r>
            <w:r w:rsidRPr="00AB2CF6">
              <w:rPr>
                <w:lang w:val="en-US"/>
              </w:rPr>
              <w:t>IV</w:t>
            </w:r>
            <w:r w:rsidRPr="00234E06">
              <w:t>)</w:t>
            </w:r>
            <w:r>
              <w:t>.</w:t>
            </w:r>
          </w:p>
          <w:p w14:paraId="74893AF1" w14:textId="77777777" w:rsidR="003D73AA" w:rsidRPr="00234E06" w:rsidRDefault="003D73AA" w:rsidP="007B68F4">
            <w:pPr>
              <w:spacing w:before="120"/>
              <w:jc w:val="both"/>
            </w:pPr>
            <w:r>
              <w:t>В случае обязательной оценки формулировка «для принятия управленческих решений» или иные неконкретные, аналогичные указанной, – не допускаются.</w:t>
            </w:r>
          </w:p>
        </w:tc>
        <w:tc>
          <w:tcPr>
            <w:tcW w:w="5351" w:type="dxa"/>
          </w:tcPr>
          <w:p w14:paraId="4FA734EC" w14:textId="77777777" w:rsidR="003D73AA" w:rsidRDefault="003D73AA" w:rsidP="007B68F4">
            <w:pPr>
              <w:jc w:val="both"/>
            </w:pPr>
            <w:r>
              <w:t xml:space="preserve">Пример 1. </w:t>
            </w:r>
            <w:r w:rsidRPr="00234E06">
              <w:t xml:space="preserve">Для </w:t>
            </w:r>
            <w:r>
              <w:t xml:space="preserve">целей установления кадастровой стоимости в размере рыночной </w:t>
            </w:r>
            <w:r w:rsidRPr="00234E06">
              <w:t>в</w:t>
            </w:r>
            <w:r>
              <w:t> </w:t>
            </w:r>
            <w:r w:rsidRPr="00234E06">
              <w:t>соответствии с</w:t>
            </w:r>
            <w:r>
              <w:t> </w:t>
            </w:r>
            <w:r w:rsidRPr="00234E06">
              <w:t>положениями ст. 22 Федерального закона от</w:t>
            </w:r>
            <w:r>
              <w:t> </w:t>
            </w:r>
            <w:r w:rsidRPr="00234E06">
              <w:t xml:space="preserve">03.07.2016 N 237-ФЗ </w:t>
            </w:r>
            <w:r>
              <w:t>«</w:t>
            </w:r>
            <w:r w:rsidRPr="00234E06">
              <w:t>О государственной кадастровой оценке</w:t>
            </w:r>
            <w:r>
              <w:t>».</w:t>
            </w:r>
          </w:p>
          <w:p w14:paraId="5CA627DC" w14:textId="77777777" w:rsidR="003D73AA" w:rsidRPr="00234E06" w:rsidRDefault="003D73AA" w:rsidP="007B68F4">
            <w:pPr>
              <w:spacing w:before="120"/>
              <w:jc w:val="both"/>
            </w:pPr>
            <w:r>
              <w:t>Пример 2. Для целей определения величины компенсации за изымаемое имущество для государственных нужд в соответствии с ст. 49 Земельного Кодекса Российской Федерации от 25.10.2001 №136-ФЗ.</w:t>
            </w:r>
          </w:p>
        </w:tc>
      </w:tr>
      <w:tr w:rsidR="003D73AA" w14:paraId="20CAAB48" w14:textId="77777777" w:rsidTr="007B68F4">
        <w:tc>
          <w:tcPr>
            <w:tcW w:w="562" w:type="dxa"/>
          </w:tcPr>
          <w:p w14:paraId="4D64905C" w14:textId="77777777" w:rsidR="003D73AA" w:rsidRDefault="003D73AA" w:rsidP="007B68F4">
            <w:pPr>
              <w:jc w:val="center"/>
            </w:pPr>
            <w:r>
              <w:t>3</w:t>
            </w:r>
          </w:p>
        </w:tc>
        <w:tc>
          <w:tcPr>
            <w:tcW w:w="2552" w:type="dxa"/>
          </w:tcPr>
          <w:p w14:paraId="2602FECD" w14:textId="77777777" w:rsidR="003D73AA" w:rsidRDefault="003D73AA" w:rsidP="007B68F4">
            <w:r>
              <w:t>Указание на то,</w:t>
            </w:r>
          </w:p>
          <w:p w14:paraId="5BF5CF18" w14:textId="77777777" w:rsidR="003D73AA" w:rsidRDefault="003D73AA" w:rsidP="007B68F4">
            <w:r>
              <w:t>что оценка проводится</w:t>
            </w:r>
          </w:p>
          <w:p w14:paraId="0016B6A5" w14:textId="77777777" w:rsidR="003D73AA" w:rsidRDefault="003D73AA" w:rsidP="007B68F4">
            <w:r>
              <w:t>в соответствии</w:t>
            </w:r>
            <w:r>
              <w:br/>
              <w:t>с Законом об оценке</w:t>
            </w:r>
          </w:p>
        </w:tc>
        <w:tc>
          <w:tcPr>
            <w:tcW w:w="6095" w:type="dxa"/>
          </w:tcPr>
          <w:p w14:paraId="02699324" w14:textId="77777777" w:rsidR="003D73AA" w:rsidRPr="00BF16AD" w:rsidRDefault="003D73AA" w:rsidP="007B68F4">
            <w:proofErr w:type="spellStart"/>
            <w:r>
              <w:t>П.п</w:t>
            </w:r>
            <w:proofErr w:type="spellEnd"/>
            <w:r>
              <w:t xml:space="preserve">. 3 п. 3 ФСО </w:t>
            </w:r>
            <w:r>
              <w:rPr>
                <w:lang w:val="en-US"/>
              </w:rPr>
              <w:t>IV</w:t>
            </w:r>
            <w:r>
              <w:t>.</w:t>
            </w:r>
          </w:p>
        </w:tc>
        <w:tc>
          <w:tcPr>
            <w:tcW w:w="5351" w:type="dxa"/>
          </w:tcPr>
          <w:p w14:paraId="273E6C3A" w14:textId="77777777" w:rsidR="003D73AA" w:rsidRDefault="003D73AA" w:rsidP="007B68F4">
            <w:pPr>
              <w:jc w:val="both"/>
            </w:pPr>
            <w:r>
              <w:t>Оценка проводится в соответствии с требованиями Федерального закона от 29.07.1998 № 135-ФЗ «Об оценочной деятельности в Российской Федерации»</w:t>
            </w:r>
          </w:p>
        </w:tc>
      </w:tr>
      <w:tr w:rsidR="003D73AA" w14:paraId="4B6AE0E2" w14:textId="77777777" w:rsidTr="007B68F4">
        <w:tc>
          <w:tcPr>
            <w:tcW w:w="562" w:type="dxa"/>
          </w:tcPr>
          <w:p w14:paraId="1A19B1FD" w14:textId="77777777" w:rsidR="003D73AA" w:rsidRDefault="003D73AA" w:rsidP="007B68F4">
            <w:pPr>
              <w:jc w:val="center"/>
            </w:pPr>
            <w:r>
              <w:t>4</w:t>
            </w:r>
          </w:p>
        </w:tc>
        <w:tc>
          <w:tcPr>
            <w:tcW w:w="2552" w:type="dxa"/>
          </w:tcPr>
          <w:p w14:paraId="66CDFFAA" w14:textId="77777777" w:rsidR="003D73AA" w:rsidRDefault="003D73AA" w:rsidP="007B68F4">
            <w:r>
              <w:t>Вид стоимости</w:t>
            </w:r>
          </w:p>
        </w:tc>
        <w:tc>
          <w:tcPr>
            <w:tcW w:w="6095" w:type="dxa"/>
          </w:tcPr>
          <w:p w14:paraId="07D604E9" w14:textId="77777777" w:rsidR="003D73AA" w:rsidRPr="003637DC" w:rsidRDefault="003D73AA" w:rsidP="007B68F4">
            <w:proofErr w:type="spellStart"/>
            <w:r w:rsidRPr="003637DC">
              <w:t>П.п</w:t>
            </w:r>
            <w:proofErr w:type="spellEnd"/>
            <w:r w:rsidRPr="003637DC">
              <w:t xml:space="preserve">. 4 п. 3 ФСО </w:t>
            </w:r>
            <w:r w:rsidRPr="003637DC">
              <w:rPr>
                <w:lang w:val="en-US"/>
              </w:rPr>
              <w:t>IV</w:t>
            </w:r>
            <w:r w:rsidRPr="003637DC">
              <w:t>.</w:t>
            </w:r>
          </w:p>
          <w:p w14:paraId="3887248E" w14:textId="77777777" w:rsidR="003D73AA" w:rsidRPr="003637DC" w:rsidRDefault="003D73AA" w:rsidP="007B68F4">
            <w:r w:rsidRPr="003637DC">
              <w:t xml:space="preserve">Виды стоимости – ФСО </w:t>
            </w:r>
            <w:r w:rsidRPr="003637DC">
              <w:rPr>
                <w:lang w:val="en-US"/>
              </w:rPr>
              <w:t>II</w:t>
            </w:r>
            <w:r w:rsidRPr="003637DC">
              <w:t>.</w:t>
            </w:r>
          </w:p>
        </w:tc>
        <w:tc>
          <w:tcPr>
            <w:tcW w:w="5351" w:type="dxa"/>
            <w:vMerge w:val="restart"/>
          </w:tcPr>
          <w:p w14:paraId="3392211F" w14:textId="77777777" w:rsidR="003D73AA" w:rsidRPr="003637DC" w:rsidRDefault="003D73AA" w:rsidP="007B68F4">
            <w:r>
              <w:t>Пример</w:t>
            </w:r>
            <w:r w:rsidRPr="003637DC">
              <w:t xml:space="preserve"> 1. Рыночная стоимость.</w:t>
            </w:r>
          </w:p>
          <w:p w14:paraId="080D6B52" w14:textId="77777777" w:rsidR="003D73AA" w:rsidRPr="003637DC" w:rsidRDefault="003D73AA" w:rsidP="007B68F4">
            <w:pPr>
              <w:spacing w:before="120"/>
            </w:pPr>
            <w:r>
              <w:t>Пример</w:t>
            </w:r>
            <w:r w:rsidRPr="003637DC">
              <w:t xml:space="preserve"> 2. Рыночная стоимость.</w:t>
            </w:r>
          </w:p>
          <w:p w14:paraId="05DAE017" w14:textId="77777777" w:rsidR="003D73AA" w:rsidRPr="003637DC" w:rsidRDefault="003D73AA" w:rsidP="007B68F4">
            <w:r w:rsidRPr="003637DC">
              <w:t>Предпосылки стоимости:</w:t>
            </w:r>
          </w:p>
          <w:p w14:paraId="38D387C8" w14:textId="77777777" w:rsidR="003D73AA" w:rsidRPr="003637DC" w:rsidRDefault="003D73AA" w:rsidP="007B68F4">
            <w:pPr>
              <w:pStyle w:val="a7"/>
              <w:numPr>
                <w:ilvl w:val="0"/>
                <w:numId w:val="5"/>
              </w:numPr>
              <w:ind w:left="466"/>
              <w:jc w:val="both"/>
            </w:pPr>
            <w:r w:rsidRPr="003637DC">
              <w:t>предполагается сделка с объектом оценки;</w:t>
            </w:r>
          </w:p>
          <w:p w14:paraId="260CCAB1" w14:textId="77777777" w:rsidR="003D73AA" w:rsidRPr="003637DC" w:rsidRDefault="003D73AA" w:rsidP="007B68F4">
            <w:pPr>
              <w:pStyle w:val="a7"/>
              <w:numPr>
                <w:ilvl w:val="0"/>
                <w:numId w:val="5"/>
              </w:numPr>
              <w:ind w:left="454"/>
              <w:jc w:val="both"/>
            </w:pPr>
            <w:r w:rsidRPr="003637DC">
              <w:t>участники сделки или пользователи объекта являются неопределенными лицами (гипотетические участники);</w:t>
            </w:r>
          </w:p>
          <w:p w14:paraId="53C8A345" w14:textId="77777777" w:rsidR="003D73AA" w:rsidRPr="003637DC" w:rsidRDefault="003D73AA" w:rsidP="007B68F4">
            <w:pPr>
              <w:pStyle w:val="a7"/>
              <w:numPr>
                <w:ilvl w:val="0"/>
                <w:numId w:val="5"/>
              </w:numPr>
              <w:ind w:left="454"/>
              <w:jc w:val="both"/>
            </w:pPr>
            <w:r w:rsidRPr="003637DC">
              <w:t>дата оценки 18.10.2022;</w:t>
            </w:r>
          </w:p>
          <w:p w14:paraId="532C6608" w14:textId="77777777" w:rsidR="003D73AA" w:rsidRPr="003637DC" w:rsidRDefault="003D73AA" w:rsidP="007B68F4">
            <w:pPr>
              <w:pStyle w:val="a7"/>
              <w:numPr>
                <w:ilvl w:val="0"/>
                <w:numId w:val="5"/>
              </w:numPr>
              <w:ind w:left="454"/>
              <w:jc w:val="both"/>
            </w:pPr>
            <w:r w:rsidRPr="003637DC">
              <w:lastRenderedPageBreak/>
              <w:t>предполагаемое использование объекта – текущее использование</w:t>
            </w:r>
            <w:r w:rsidRPr="003637DC">
              <w:rPr>
                <w:rStyle w:val="a6"/>
              </w:rPr>
              <w:footnoteReference w:id="2"/>
            </w:r>
            <w:r w:rsidRPr="003637DC">
              <w:t>;</w:t>
            </w:r>
          </w:p>
          <w:p w14:paraId="6953242F" w14:textId="77777777" w:rsidR="003D73AA" w:rsidRPr="003637DC" w:rsidRDefault="003D73AA" w:rsidP="007B68F4">
            <w:pPr>
              <w:pStyle w:val="a7"/>
              <w:numPr>
                <w:ilvl w:val="0"/>
                <w:numId w:val="5"/>
              </w:numPr>
              <w:ind w:left="454"/>
              <w:jc w:val="both"/>
            </w:pPr>
            <w:r w:rsidRPr="003637DC">
              <w:t>характер сделки – добровольная сделка в</w:t>
            </w:r>
            <w:r>
              <w:t> </w:t>
            </w:r>
            <w:r w:rsidRPr="003637DC">
              <w:t>типичных условиях.</w:t>
            </w:r>
          </w:p>
          <w:p w14:paraId="35A012C4" w14:textId="77777777" w:rsidR="003D73AA" w:rsidRPr="003637DC" w:rsidRDefault="003D73AA" w:rsidP="007B68F4">
            <w:pPr>
              <w:spacing w:before="120"/>
              <w:jc w:val="both"/>
            </w:pPr>
            <w:r>
              <w:t>Пример</w:t>
            </w:r>
            <w:r w:rsidRPr="003637DC">
              <w:t xml:space="preserve"> 3. Справедливая стоимость</w:t>
            </w:r>
            <w:r w:rsidRPr="003637DC">
              <w:rPr>
                <w:rStyle w:val="a6"/>
              </w:rPr>
              <w:footnoteReference w:id="3"/>
            </w:r>
            <w:r w:rsidRPr="003637DC">
              <w:t>.</w:t>
            </w:r>
          </w:p>
          <w:p w14:paraId="58FCAE10" w14:textId="77777777" w:rsidR="003D73AA" w:rsidRPr="003637DC" w:rsidRDefault="003D73AA" w:rsidP="007B68F4">
            <w:r w:rsidRPr="003637DC">
              <w:t>Предпосылки стоимости:</w:t>
            </w:r>
          </w:p>
          <w:p w14:paraId="70AE72E0" w14:textId="77777777" w:rsidR="003D73AA" w:rsidRPr="003637DC" w:rsidRDefault="003D73AA" w:rsidP="007B68F4">
            <w:pPr>
              <w:pStyle w:val="a7"/>
              <w:numPr>
                <w:ilvl w:val="0"/>
                <w:numId w:val="9"/>
              </w:numPr>
              <w:ind w:left="454"/>
              <w:jc w:val="both"/>
            </w:pPr>
            <w:r w:rsidRPr="003637DC">
              <w:t>предполагается сделка с объектом оценки;</w:t>
            </w:r>
          </w:p>
          <w:p w14:paraId="6F79FE1F" w14:textId="77777777" w:rsidR="003D73AA" w:rsidRPr="003637DC" w:rsidRDefault="003D73AA" w:rsidP="007B68F4">
            <w:pPr>
              <w:pStyle w:val="a7"/>
              <w:numPr>
                <w:ilvl w:val="0"/>
                <w:numId w:val="9"/>
              </w:numPr>
              <w:ind w:left="454"/>
              <w:jc w:val="both"/>
            </w:pPr>
            <w:r w:rsidRPr="003637DC">
              <w:t>участники сделки или пользователи объекта являются неопределенными лицами (гипотетические участники);</w:t>
            </w:r>
          </w:p>
          <w:p w14:paraId="3616EA1E" w14:textId="77777777" w:rsidR="003D73AA" w:rsidRPr="003637DC" w:rsidRDefault="003D73AA" w:rsidP="007B68F4">
            <w:pPr>
              <w:pStyle w:val="a7"/>
              <w:numPr>
                <w:ilvl w:val="0"/>
                <w:numId w:val="9"/>
              </w:numPr>
              <w:ind w:left="454"/>
              <w:jc w:val="both"/>
            </w:pPr>
            <w:r w:rsidRPr="003637DC">
              <w:t>дата оценки 18.10.2022;</w:t>
            </w:r>
          </w:p>
          <w:p w14:paraId="2820484F" w14:textId="77777777" w:rsidR="003D73AA" w:rsidRPr="003637DC" w:rsidRDefault="003D73AA" w:rsidP="007B68F4">
            <w:pPr>
              <w:pStyle w:val="a7"/>
              <w:numPr>
                <w:ilvl w:val="0"/>
                <w:numId w:val="9"/>
              </w:numPr>
              <w:ind w:left="454"/>
              <w:jc w:val="both"/>
            </w:pPr>
            <w:r w:rsidRPr="003637DC">
              <w:t>предполагаемое использование объекта – наиболее эффективное использование;</w:t>
            </w:r>
          </w:p>
          <w:p w14:paraId="7982B625" w14:textId="77777777" w:rsidR="003D73AA" w:rsidRPr="003637DC" w:rsidRDefault="003D73AA" w:rsidP="007B68F4">
            <w:pPr>
              <w:pStyle w:val="a7"/>
              <w:numPr>
                <w:ilvl w:val="0"/>
                <w:numId w:val="9"/>
              </w:numPr>
              <w:ind w:left="454"/>
              <w:jc w:val="both"/>
            </w:pPr>
            <w:r w:rsidRPr="003637DC">
              <w:t>характер сделки – добровольная сделка в типичных условиях.</w:t>
            </w:r>
          </w:p>
          <w:p w14:paraId="2692932B" w14:textId="77777777" w:rsidR="003D73AA" w:rsidRDefault="003D73AA" w:rsidP="007B68F4">
            <w:pPr>
              <w:jc w:val="both"/>
            </w:pPr>
            <w:r w:rsidRPr="003637DC">
              <w:t>Основания для установления предпосылок: вид стоимости «справедливая» подлежит установлению в соответствии с целями оценки (для целей составления финансовой отчетности по ФСБУ 6/2020).</w:t>
            </w:r>
          </w:p>
          <w:p w14:paraId="6024977C" w14:textId="77777777" w:rsidR="003D73AA" w:rsidRPr="004816D4" w:rsidRDefault="003D73AA" w:rsidP="007B68F4">
            <w:pPr>
              <w:spacing w:before="120"/>
              <w:jc w:val="both"/>
              <w:rPr>
                <w:highlight w:val="green"/>
              </w:rPr>
            </w:pPr>
            <w:r w:rsidRPr="004816D4">
              <w:rPr>
                <w:highlight w:val="green"/>
              </w:rPr>
              <w:t>Пример 4. Ликвидационная стоимость</w:t>
            </w:r>
            <w:r>
              <w:rPr>
                <w:rStyle w:val="a6"/>
                <w:highlight w:val="green"/>
              </w:rPr>
              <w:footnoteReference w:id="4"/>
            </w:r>
            <w:r w:rsidRPr="004816D4">
              <w:rPr>
                <w:highlight w:val="green"/>
              </w:rPr>
              <w:t>.</w:t>
            </w:r>
          </w:p>
          <w:p w14:paraId="76D45918" w14:textId="77777777" w:rsidR="003D73AA" w:rsidRPr="00BA369B" w:rsidRDefault="003D73AA" w:rsidP="007B68F4">
            <w:pPr>
              <w:jc w:val="both"/>
              <w:rPr>
                <w:highlight w:val="green"/>
              </w:rPr>
            </w:pPr>
            <w:r w:rsidRPr="004816D4">
              <w:rPr>
                <w:highlight w:val="green"/>
              </w:rPr>
              <w:lastRenderedPageBreak/>
              <w:t>Предпосылк</w:t>
            </w:r>
            <w:r>
              <w:rPr>
                <w:highlight w:val="green"/>
              </w:rPr>
              <w:t>а</w:t>
            </w:r>
            <w:r w:rsidRPr="004816D4">
              <w:rPr>
                <w:highlight w:val="green"/>
              </w:rPr>
              <w:t xml:space="preserve"> стоимости:</w:t>
            </w:r>
            <w:r>
              <w:rPr>
                <w:highlight w:val="green"/>
              </w:rPr>
              <w:t xml:space="preserve"> </w:t>
            </w:r>
            <w:r w:rsidRPr="00BA369B">
              <w:rPr>
                <w:highlight w:val="green"/>
              </w:rPr>
              <w:t>характер сделки – сделка в</w:t>
            </w:r>
            <w:r>
              <w:rPr>
                <w:highlight w:val="green"/>
              </w:rPr>
              <w:t> </w:t>
            </w:r>
            <w:r w:rsidRPr="00BA369B">
              <w:rPr>
                <w:highlight w:val="green"/>
              </w:rPr>
              <w:t>условиях вынужденной продажи при сроке экспозиции 1 месяц</w:t>
            </w:r>
            <w:r>
              <w:rPr>
                <w:rStyle w:val="a6"/>
                <w:highlight w:val="green"/>
              </w:rPr>
              <w:footnoteReference w:id="5"/>
            </w:r>
            <w:r w:rsidRPr="00BA369B">
              <w:rPr>
                <w:highlight w:val="green"/>
              </w:rPr>
              <w:t>.</w:t>
            </w:r>
          </w:p>
        </w:tc>
      </w:tr>
      <w:tr w:rsidR="003D73AA" w14:paraId="2A3D7802" w14:textId="77777777" w:rsidTr="007B68F4">
        <w:tc>
          <w:tcPr>
            <w:tcW w:w="562" w:type="dxa"/>
          </w:tcPr>
          <w:p w14:paraId="5E421EFB" w14:textId="77777777" w:rsidR="003D73AA" w:rsidRDefault="003D73AA" w:rsidP="007B68F4">
            <w:pPr>
              <w:jc w:val="center"/>
            </w:pPr>
            <w:r>
              <w:t>5</w:t>
            </w:r>
          </w:p>
        </w:tc>
        <w:tc>
          <w:tcPr>
            <w:tcW w:w="2552" w:type="dxa"/>
          </w:tcPr>
          <w:p w14:paraId="29AB7E11" w14:textId="77777777" w:rsidR="003D73AA" w:rsidRDefault="003D73AA" w:rsidP="007B68F4">
            <w:r>
              <w:t>Предпосылки стоимости</w:t>
            </w:r>
          </w:p>
        </w:tc>
        <w:tc>
          <w:tcPr>
            <w:tcW w:w="6095" w:type="dxa"/>
          </w:tcPr>
          <w:p w14:paraId="331027D2" w14:textId="77777777" w:rsidR="003D73AA" w:rsidRPr="003637DC" w:rsidRDefault="003D73AA" w:rsidP="007B68F4">
            <w:r w:rsidRPr="003637DC">
              <w:t xml:space="preserve">Предпосылки стоимости п. 3 ФСО </w:t>
            </w:r>
            <w:r w:rsidRPr="003637DC">
              <w:rPr>
                <w:lang w:val="en-US"/>
              </w:rPr>
              <w:t>II</w:t>
            </w:r>
            <w:r w:rsidRPr="003637DC">
              <w:t>:</w:t>
            </w:r>
          </w:p>
          <w:p w14:paraId="0DD46E5F" w14:textId="77777777" w:rsidR="003D73AA" w:rsidRPr="003637DC" w:rsidRDefault="003D73AA" w:rsidP="007B68F4">
            <w:pPr>
              <w:pStyle w:val="a7"/>
              <w:numPr>
                <w:ilvl w:val="0"/>
                <w:numId w:val="3"/>
              </w:numPr>
              <w:ind w:left="454"/>
              <w:jc w:val="both"/>
            </w:pPr>
            <w:r w:rsidRPr="003637DC">
              <w:t>предполагается сделка с объектом оценки или использование объекта оценки без совершения сделки</w:t>
            </w:r>
            <w:r w:rsidRPr="003637DC">
              <w:br/>
              <w:t>с ним;</w:t>
            </w:r>
          </w:p>
          <w:p w14:paraId="299AE624" w14:textId="77777777" w:rsidR="003D73AA" w:rsidRPr="003637DC" w:rsidRDefault="003D73AA" w:rsidP="007B68F4">
            <w:pPr>
              <w:pStyle w:val="a7"/>
              <w:numPr>
                <w:ilvl w:val="0"/>
                <w:numId w:val="3"/>
              </w:numPr>
              <w:ind w:left="454"/>
              <w:jc w:val="both"/>
            </w:pPr>
            <w:r w:rsidRPr="003637DC">
              <w:t>участники сделки или пользователи объекта являются конкретными (идентифицированными) лицами либо неопределенными лицами (гипотетические участники);</w:t>
            </w:r>
          </w:p>
          <w:p w14:paraId="367BAC53" w14:textId="77777777" w:rsidR="003D73AA" w:rsidRPr="003637DC" w:rsidRDefault="003D73AA" w:rsidP="007B68F4">
            <w:pPr>
              <w:pStyle w:val="a7"/>
              <w:numPr>
                <w:ilvl w:val="0"/>
                <w:numId w:val="3"/>
              </w:numPr>
              <w:ind w:left="454"/>
              <w:jc w:val="both"/>
            </w:pPr>
            <w:r w:rsidRPr="003637DC">
              <w:t>дата оценки;</w:t>
            </w:r>
          </w:p>
          <w:p w14:paraId="418EBD4D" w14:textId="77777777" w:rsidR="003D73AA" w:rsidRPr="003637DC" w:rsidRDefault="003D73AA" w:rsidP="007B68F4">
            <w:pPr>
              <w:pStyle w:val="a7"/>
              <w:numPr>
                <w:ilvl w:val="0"/>
                <w:numId w:val="3"/>
              </w:numPr>
              <w:ind w:left="454"/>
              <w:jc w:val="both"/>
            </w:pPr>
            <w:r w:rsidRPr="003637DC">
              <w:t xml:space="preserve">предполагаемым использованием объекта может быть наиболее эффективное использование, текущее </w:t>
            </w:r>
            <w:r w:rsidRPr="003637DC">
              <w:lastRenderedPageBreak/>
              <w:t>использование, иное конкретное использование</w:t>
            </w:r>
            <w:r w:rsidRPr="003637DC">
              <w:br/>
              <w:t>(в частности, ликвидация);</w:t>
            </w:r>
          </w:p>
          <w:p w14:paraId="1C0101F3" w14:textId="77777777" w:rsidR="003D73AA" w:rsidRPr="003637DC" w:rsidRDefault="003D73AA" w:rsidP="007B68F4">
            <w:pPr>
              <w:pStyle w:val="a7"/>
              <w:numPr>
                <w:ilvl w:val="0"/>
                <w:numId w:val="3"/>
              </w:numPr>
              <w:ind w:left="454"/>
              <w:jc w:val="both"/>
            </w:pPr>
            <w:r w:rsidRPr="003637DC">
              <w:t>характер сделки, под которым подразумевается добровольная сделка в типичных условиях или сделка</w:t>
            </w:r>
            <w:r w:rsidRPr="003637DC">
              <w:br/>
              <w:t>в условиях вынужденной продажи.</w:t>
            </w:r>
          </w:p>
          <w:p w14:paraId="6DB48BFC" w14:textId="77777777" w:rsidR="003D73AA" w:rsidRDefault="003D73AA" w:rsidP="007B68F4">
            <w:pPr>
              <w:jc w:val="both"/>
            </w:pPr>
            <w:r>
              <w:t xml:space="preserve">С учетом цели оценки может потребоваться определение рыночной стоимости в предпосылке о текущем использовании, в предпосылке о ликвидации объекта оценки (п. 17 ФСО </w:t>
            </w:r>
            <w:r>
              <w:rPr>
                <w:lang w:val="en-US"/>
              </w:rPr>
              <w:t>II</w:t>
            </w:r>
            <w:r w:rsidRPr="00BB536B">
              <w:t>)</w:t>
            </w:r>
            <w:r>
              <w:t>.</w:t>
            </w:r>
          </w:p>
          <w:p w14:paraId="426B320A" w14:textId="77777777" w:rsidR="003D73AA" w:rsidRPr="003637DC" w:rsidRDefault="003D73AA" w:rsidP="007B68F4">
            <w:pPr>
              <w:jc w:val="both"/>
            </w:pPr>
            <w:r w:rsidRPr="003637DC">
              <w:t>Предпосылки стоимости указываются – если это необходимо</w:t>
            </w:r>
            <w:r w:rsidRPr="003637DC">
              <w:br/>
              <w:t>в соответствии с пунктами 17 и 22 ФСО II (</w:t>
            </w:r>
            <w:proofErr w:type="spellStart"/>
            <w:r w:rsidRPr="003637DC">
              <w:t>п.п</w:t>
            </w:r>
            <w:proofErr w:type="spellEnd"/>
            <w:r w:rsidRPr="003637DC">
              <w:t xml:space="preserve">. 4 п. 3 ФСО </w:t>
            </w:r>
            <w:r w:rsidRPr="003637DC">
              <w:rPr>
                <w:lang w:val="en-US"/>
              </w:rPr>
              <w:t>IV</w:t>
            </w:r>
            <w:r w:rsidRPr="003637DC">
              <w:t>)</w:t>
            </w:r>
            <w:r w:rsidRPr="003637DC">
              <w:rPr>
                <w:rStyle w:val="a6"/>
              </w:rPr>
              <w:footnoteReference w:id="6"/>
            </w:r>
            <w:r w:rsidRPr="003637DC">
              <w:t>.</w:t>
            </w:r>
          </w:p>
        </w:tc>
        <w:tc>
          <w:tcPr>
            <w:tcW w:w="5351" w:type="dxa"/>
            <w:vMerge/>
          </w:tcPr>
          <w:p w14:paraId="256B8E43" w14:textId="77777777" w:rsidR="003D73AA" w:rsidRPr="003637DC" w:rsidRDefault="003D73AA" w:rsidP="007B68F4"/>
        </w:tc>
      </w:tr>
      <w:tr w:rsidR="003D73AA" w14:paraId="2DE43A96" w14:textId="77777777" w:rsidTr="007B68F4">
        <w:tc>
          <w:tcPr>
            <w:tcW w:w="562" w:type="dxa"/>
          </w:tcPr>
          <w:p w14:paraId="1331AC23" w14:textId="77777777" w:rsidR="003D73AA" w:rsidRDefault="003D73AA" w:rsidP="007B68F4">
            <w:pPr>
              <w:jc w:val="center"/>
            </w:pPr>
            <w:r>
              <w:t>6</w:t>
            </w:r>
          </w:p>
        </w:tc>
        <w:tc>
          <w:tcPr>
            <w:tcW w:w="2552" w:type="dxa"/>
          </w:tcPr>
          <w:p w14:paraId="73A57229" w14:textId="77777777" w:rsidR="003D73AA" w:rsidRDefault="003D73AA" w:rsidP="007B68F4">
            <w:r>
              <w:t>Основания</w:t>
            </w:r>
          </w:p>
          <w:p w14:paraId="2D19789F" w14:textId="77777777" w:rsidR="003D73AA" w:rsidRDefault="003D73AA" w:rsidP="007B68F4">
            <w:r>
              <w:t>для установления предпосылок стоимости</w:t>
            </w:r>
          </w:p>
        </w:tc>
        <w:tc>
          <w:tcPr>
            <w:tcW w:w="6095" w:type="dxa"/>
          </w:tcPr>
          <w:p w14:paraId="45352AA0" w14:textId="77777777" w:rsidR="003D73AA" w:rsidRDefault="003D73AA" w:rsidP="007B68F4">
            <w:pPr>
              <w:jc w:val="both"/>
            </w:pPr>
            <w:r>
              <w:t xml:space="preserve">П. 22 ФСО </w:t>
            </w:r>
            <w:r>
              <w:rPr>
                <w:lang w:val="en-US"/>
              </w:rPr>
              <w:t>II</w:t>
            </w:r>
            <w:r w:rsidRPr="00C411E6">
              <w:t xml:space="preserve"> </w:t>
            </w:r>
            <w:r>
              <w:t>установлено: «Если законодательством, нормативными правовыми актами или иными документами, в соответствии с которыми действует заказчик оценки, предусмотрена оценка стоимости, вид которой не определен или отсутствует в п. 12 настоящего ФСО, должны быть установлены предпосылки, подходящие цели оценки и соответствующие положениям настоящего ФСО.</w:t>
            </w:r>
          </w:p>
          <w:p w14:paraId="23B1252D" w14:textId="77777777" w:rsidR="003D73AA" w:rsidRDefault="003D73AA" w:rsidP="007B68F4">
            <w:pPr>
              <w:jc w:val="both"/>
            </w:pPr>
            <w:r>
              <w:t>В этом случае в задании на оценку и отчете об оценке должны быть указаны предпосылки, основания для их установления и выбранный вид стоимости».</w:t>
            </w:r>
          </w:p>
          <w:p w14:paraId="5DEBFC26" w14:textId="77777777" w:rsidR="003D73AA" w:rsidRDefault="003D73AA" w:rsidP="007B68F4">
            <w:pPr>
              <w:jc w:val="both"/>
            </w:pPr>
            <w:r>
              <w:t xml:space="preserve">Союз СОО направил запрос в </w:t>
            </w:r>
            <w:proofErr w:type="spellStart"/>
            <w:r>
              <w:t>Минэк</w:t>
            </w:r>
            <w:proofErr w:type="spellEnd"/>
            <w:r>
              <w:t xml:space="preserve"> относительно использования нерыночной предпосылки в виде конкретных </w:t>
            </w:r>
            <w:r>
              <w:lastRenderedPageBreak/>
              <w:t>участников сделки при определении рыночной стоимости (например, для целей изъятия). Ответ будет опубликован.</w:t>
            </w:r>
          </w:p>
        </w:tc>
        <w:tc>
          <w:tcPr>
            <w:tcW w:w="5351" w:type="dxa"/>
            <w:vMerge/>
          </w:tcPr>
          <w:p w14:paraId="41351E9D" w14:textId="77777777" w:rsidR="003D73AA" w:rsidRDefault="003D73AA" w:rsidP="007B68F4"/>
        </w:tc>
      </w:tr>
      <w:tr w:rsidR="003D73AA" w14:paraId="1D3B532A" w14:textId="77777777" w:rsidTr="007B68F4">
        <w:tc>
          <w:tcPr>
            <w:tcW w:w="562" w:type="dxa"/>
          </w:tcPr>
          <w:p w14:paraId="27A86642" w14:textId="77777777" w:rsidR="003D73AA" w:rsidRDefault="003D73AA" w:rsidP="007B68F4">
            <w:pPr>
              <w:jc w:val="center"/>
            </w:pPr>
            <w:r>
              <w:t>7</w:t>
            </w:r>
          </w:p>
        </w:tc>
        <w:tc>
          <w:tcPr>
            <w:tcW w:w="2552" w:type="dxa"/>
          </w:tcPr>
          <w:p w14:paraId="0267BCAF" w14:textId="77777777" w:rsidR="003D73AA" w:rsidRDefault="003D73AA" w:rsidP="007B68F4">
            <w:r>
              <w:t>Дата оценки</w:t>
            </w:r>
          </w:p>
        </w:tc>
        <w:tc>
          <w:tcPr>
            <w:tcW w:w="6095" w:type="dxa"/>
          </w:tcPr>
          <w:p w14:paraId="60BE3CB8" w14:textId="77777777" w:rsidR="003D73AA" w:rsidRDefault="003D73AA" w:rsidP="007B68F4">
            <w:proofErr w:type="spellStart"/>
            <w:r>
              <w:t>П.п</w:t>
            </w:r>
            <w:proofErr w:type="spellEnd"/>
            <w:r>
              <w:t xml:space="preserve">. 5 п. 3 ФСО </w:t>
            </w:r>
            <w:r>
              <w:rPr>
                <w:lang w:val="en-US"/>
              </w:rPr>
              <w:t>IV</w:t>
            </w:r>
            <w:r>
              <w:t>.</w:t>
            </w:r>
          </w:p>
          <w:p w14:paraId="7D2C530E" w14:textId="77777777" w:rsidR="003D73AA" w:rsidRPr="00BF16AD" w:rsidRDefault="003D73AA" w:rsidP="007B68F4">
            <w:pPr>
              <w:jc w:val="both"/>
            </w:pPr>
            <w:r>
              <w:t xml:space="preserve">Союз СОО направил запрос в </w:t>
            </w:r>
            <w:proofErr w:type="spellStart"/>
            <w:r>
              <w:t>Минэк</w:t>
            </w:r>
            <w:proofErr w:type="spellEnd"/>
            <w:r>
              <w:t xml:space="preserve"> относительно необходимости установления стоимости на дату в будущем (дата предполагаемой сделки). Ответ будет опубликован.</w:t>
            </w:r>
          </w:p>
        </w:tc>
        <w:tc>
          <w:tcPr>
            <w:tcW w:w="5351" w:type="dxa"/>
          </w:tcPr>
          <w:p w14:paraId="287B4CBA" w14:textId="77777777" w:rsidR="003D73AA" w:rsidRDefault="003D73AA" w:rsidP="007B68F4">
            <w:r>
              <w:t>18.10.2022</w:t>
            </w:r>
          </w:p>
        </w:tc>
      </w:tr>
      <w:tr w:rsidR="003D73AA" w14:paraId="33CC609E" w14:textId="77777777" w:rsidTr="007B68F4">
        <w:tc>
          <w:tcPr>
            <w:tcW w:w="562" w:type="dxa"/>
          </w:tcPr>
          <w:p w14:paraId="07F232B3" w14:textId="77777777" w:rsidR="003D73AA" w:rsidRDefault="003D73AA" w:rsidP="007B68F4">
            <w:pPr>
              <w:jc w:val="center"/>
            </w:pPr>
            <w:r>
              <w:t>8</w:t>
            </w:r>
          </w:p>
        </w:tc>
        <w:tc>
          <w:tcPr>
            <w:tcW w:w="2552" w:type="dxa"/>
          </w:tcPr>
          <w:p w14:paraId="718FB898" w14:textId="77777777" w:rsidR="003D73AA" w:rsidRDefault="003D73AA" w:rsidP="007B68F4">
            <w:r>
              <w:t>Специальные допущения</w:t>
            </w:r>
          </w:p>
        </w:tc>
        <w:tc>
          <w:tcPr>
            <w:tcW w:w="6095" w:type="dxa"/>
          </w:tcPr>
          <w:p w14:paraId="31A98892" w14:textId="77777777" w:rsidR="003D73AA" w:rsidRPr="00D90502" w:rsidRDefault="003D73AA" w:rsidP="007B68F4">
            <w:pPr>
              <w:jc w:val="both"/>
            </w:pPr>
            <w:proofErr w:type="spellStart"/>
            <w:r>
              <w:t>П.п</w:t>
            </w:r>
            <w:proofErr w:type="spellEnd"/>
            <w:r>
              <w:t xml:space="preserve">. 6 п. 3 ФСО </w:t>
            </w:r>
            <w:r>
              <w:rPr>
                <w:lang w:val="en-US"/>
              </w:rPr>
              <w:t>IV</w:t>
            </w:r>
            <w:r>
              <w:t>.</w:t>
            </w:r>
          </w:p>
          <w:p w14:paraId="4FE90B80" w14:textId="77777777" w:rsidR="003D73AA" w:rsidRDefault="003D73AA" w:rsidP="007B68F4">
            <w:pPr>
              <w:jc w:val="both"/>
            </w:pPr>
            <w:r>
              <w:t>Допущения, …, подразделяются на две категории:</w:t>
            </w:r>
          </w:p>
          <w:p w14:paraId="3A6B0BC3" w14:textId="77777777" w:rsidR="003D73AA" w:rsidRDefault="003D73AA" w:rsidP="007B68F4">
            <w:pPr>
              <w:pStyle w:val="a7"/>
              <w:numPr>
                <w:ilvl w:val="0"/>
                <w:numId w:val="2"/>
              </w:numPr>
              <w:ind w:left="454"/>
              <w:jc w:val="both"/>
            </w:pPr>
            <w:r>
              <w:t>допущения, которые не противоречат фактам на дату оценки или в отношении которых отсутствуют основания считать обратное;</w:t>
            </w:r>
          </w:p>
          <w:p w14:paraId="37AEFEA6" w14:textId="77777777" w:rsidR="003D73AA" w:rsidRDefault="003D73AA" w:rsidP="007B68F4">
            <w:pPr>
              <w:pStyle w:val="a7"/>
              <w:numPr>
                <w:ilvl w:val="0"/>
                <w:numId w:val="2"/>
              </w:numPr>
              <w:ind w:left="454"/>
              <w:jc w:val="both"/>
            </w:pPr>
            <w:r>
              <w:t>допущения, которые не соответствуют фактам на дату оценки, но отражают возможные изменения существующих на дату оценки фактов, вероятность наступления которых предполагается из имеющейся у оценщика информации (специальные допущения).</w:t>
            </w:r>
          </w:p>
          <w:p w14:paraId="4F6BF2BB" w14:textId="77777777" w:rsidR="003D73AA" w:rsidRDefault="003D73AA" w:rsidP="007B68F4">
            <w:pPr>
              <w:jc w:val="both"/>
            </w:pPr>
            <w:r>
              <w:t>Специальное допущение должно быть реализуемо с учетом применяемых предпосылок стоимости и цели оценки и соответствовать им.</w:t>
            </w:r>
          </w:p>
          <w:p w14:paraId="7B4BD442" w14:textId="77777777" w:rsidR="003D73AA" w:rsidRDefault="003D73AA" w:rsidP="007B68F4">
            <w:pPr>
              <w:jc w:val="both"/>
            </w:pPr>
            <w:r>
              <w:t>Если оценщик использовал специальное допущение, то данный факт должен быть отражен в формулировке объекта оценки (см. строку 1 настоящей таблицы).</w:t>
            </w:r>
          </w:p>
          <w:p w14:paraId="271AF07F" w14:textId="77777777" w:rsidR="003D73AA" w:rsidRDefault="003D73AA" w:rsidP="007B68F4">
            <w:r>
              <w:t xml:space="preserve">См. п. </w:t>
            </w:r>
            <w:proofErr w:type="gramStart"/>
            <w:r>
              <w:t>4 – 6</w:t>
            </w:r>
            <w:proofErr w:type="gramEnd"/>
            <w:r>
              <w:t xml:space="preserve"> ФСО III.</w:t>
            </w:r>
          </w:p>
          <w:p w14:paraId="4F89102D" w14:textId="77777777" w:rsidR="003D73AA" w:rsidRPr="009D348D" w:rsidRDefault="003D73AA" w:rsidP="007B68F4">
            <w:pPr>
              <w:spacing w:before="120"/>
              <w:jc w:val="both"/>
            </w:pPr>
            <w:r>
              <w:t>Не следует путать допущения и предпосылки стоимости (см. строку 5 настоящей таблицы).</w:t>
            </w:r>
          </w:p>
        </w:tc>
        <w:tc>
          <w:tcPr>
            <w:tcW w:w="5351" w:type="dxa"/>
          </w:tcPr>
          <w:p w14:paraId="583E7898" w14:textId="77777777" w:rsidR="003D73AA" w:rsidRDefault="003D73AA" w:rsidP="007B68F4">
            <w:pPr>
              <w:jc w:val="both"/>
            </w:pPr>
            <w:r>
              <w:t>Привет 1. Оценка рыночной стоимости производится без учета обременения долгосрочным договором аренды от 01.01.2010 №1.</w:t>
            </w:r>
          </w:p>
          <w:p w14:paraId="6FA54EC9" w14:textId="77777777" w:rsidR="003D73AA" w:rsidRDefault="003D73AA" w:rsidP="007B68F4">
            <w:pPr>
              <w:spacing w:before="120"/>
              <w:jc w:val="both"/>
            </w:pPr>
            <w:r>
              <w:t>Пример 2. Оценка рыночной стоимости производится при допущении о вынесении решения по Делу №</w:t>
            </w:r>
            <w:proofErr w:type="gramStart"/>
            <w:r>
              <w:t xml:space="preserve"> ….</w:t>
            </w:r>
            <w:proofErr w:type="gramEnd"/>
            <w:r>
              <w:t xml:space="preserve"> в пользу … (признание прав собственности на … ).</w:t>
            </w:r>
          </w:p>
        </w:tc>
      </w:tr>
      <w:tr w:rsidR="003D73AA" w14:paraId="579E7780" w14:textId="77777777" w:rsidTr="007B68F4">
        <w:tc>
          <w:tcPr>
            <w:tcW w:w="562" w:type="dxa"/>
          </w:tcPr>
          <w:p w14:paraId="42A360F2" w14:textId="77777777" w:rsidR="003D73AA" w:rsidRDefault="003D73AA" w:rsidP="007B68F4">
            <w:pPr>
              <w:jc w:val="center"/>
            </w:pPr>
            <w:r>
              <w:t>9</w:t>
            </w:r>
          </w:p>
        </w:tc>
        <w:tc>
          <w:tcPr>
            <w:tcW w:w="2552" w:type="dxa"/>
          </w:tcPr>
          <w:p w14:paraId="10CAEBB3" w14:textId="77777777" w:rsidR="003D73AA" w:rsidRDefault="003D73AA" w:rsidP="007B68F4">
            <w:r>
              <w:t>Иные существенные допущения</w:t>
            </w:r>
          </w:p>
        </w:tc>
        <w:tc>
          <w:tcPr>
            <w:tcW w:w="6095" w:type="dxa"/>
          </w:tcPr>
          <w:p w14:paraId="53C0E5F4" w14:textId="77777777" w:rsidR="003D73AA" w:rsidRPr="00D90502" w:rsidRDefault="003D73AA" w:rsidP="007B68F4">
            <w:pPr>
              <w:jc w:val="both"/>
            </w:pPr>
            <w:r>
              <w:t xml:space="preserve">В соответствии с разделом II ФСО «Процесс оценки (ФСО III)», утвержденного приказом Минэкономразвития России </w:t>
            </w:r>
            <w:r>
              <w:lastRenderedPageBreak/>
              <w:t>от 14.04.2022 № 200, если они известны на момент составления задания на оценку (</w:t>
            </w:r>
            <w:proofErr w:type="spellStart"/>
            <w:r>
              <w:t>п.п</w:t>
            </w:r>
            <w:proofErr w:type="spellEnd"/>
            <w:r>
              <w:t xml:space="preserve">. 6 п. 3 ФСО </w:t>
            </w:r>
            <w:r>
              <w:rPr>
                <w:lang w:val="en-US"/>
              </w:rPr>
              <w:t>IV</w:t>
            </w:r>
            <w:r>
              <w:t>).</w:t>
            </w:r>
          </w:p>
        </w:tc>
        <w:tc>
          <w:tcPr>
            <w:tcW w:w="5351" w:type="dxa"/>
          </w:tcPr>
          <w:p w14:paraId="2A4296C3" w14:textId="77777777" w:rsidR="003D73AA" w:rsidRPr="00555212" w:rsidRDefault="003D73AA" w:rsidP="007B68F4">
            <w:pPr>
              <w:jc w:val="both"/>
              <w:rPr>
                <w:highlight w:val="yellow"/>
              </w:rPr>
            </w:pPr>
            <w:r>
              <w:rPr>
                <w:i/>
                <w:iCs/>
              </w:rPr>
              <w:lastRenderedPageBreak/>
              <w:t>Иные</w:t>
            </w:r>
            <w:r w:rsidRPr="00742CEB">
              <w:rPr>
                <w:i/>
                <w:iCs/>
              </w:rPr>
              <w:t xml:space="preserve"> существенные допущения, </w:t>
            </w:r>
            <w:r>
              <w:rPr>
                <w:i/>
                <w:iCs/>
              </w:rPr>
              <w:t>которые не</w:t>
            </w:r>
            <w:r w:rsidRPr="00742CEB">
              <w:rPr>
                <w:i/>
                <w:iCs/>
              </w:rPr>
              <w:t> </w:t>
            </w:r>
            <w:r>
              <w:rPr>
                <w:i/>
                <w:iCs/>
              </w:rPr>
              <w:t xml:space="preserve">являются специальными (см. </w:t>
            </w:r>
            <w:r w:rsidRPr="00742CEB">
              <w:rPr>
                <w:i/>
                <w:iCs/>
              </w:rPr>
              <w:t>стр</w:t>
            </w:r>
            <w:r>
              <w:rPr>
                <w:i/>
                <w:iCs/>
              </w:rPr>
              <w:t>.</w:t>
            </w:r>
            <w:r w:rsidRPr="00742CEB">
              <w:rPr>
                <w:i/>
                <w:iCs/>
              </w:rPr>
              <w:t xml:space="preserve"> </w:t>
            </w:r>
            <w:r>
              <w:rPr>
                <w:i/>
                <w:iCs/>
              </w:rPr>
              <w:t>8</w:t>
            </w:r>
            <w:r w:rsidRPr="00742CEB">
              <w:rPr>
                <w:i/>
                <w:iCs/>
              </w:rPr>
              <w:t xml:space="preserve"> выше</w:t>
            </w:r>
            <w:r>
              <w:rPr>
                <w:i/>
                <w:iCs/>
              </w:rPr>
              <w:t>)</w:t>
            </w:r>
            <w:r w:rsidRPr="00742CEB">
              <w:rPr>
                <w:i/>
                <w:iCs/>
              </w:rPr>
              <w:t>.</w:t>
            </w:r>
          </w:p>
        </w:tc>
      </w:tr>
      <w:tr w:rsidR="003D73AA" w14:paraId="31632AD7" w14:textId="77777777" w:rsidTr="007B68F4">
        <w:tc>
          <w:tcPr>
            <w:tcW w:w="562" w:type="dxa"/>
          </w:tcPr>
          <w:p w14:paraId="755B6055" w14:textId="77777777" w:rsidR="003D73AA" w:rsidRDefault="003D73AA" w:rsidP="007B68F4">
            <w:pPr>
              <w:jc w:val="center"/>
            </w:pPr>
            <w:r>
              <w:t>10</w:t>
            </w:r>
          </w:p>
        </w:tc>
        <w:tc>
          <w:tcPr>
            <w:tcW w:w="2552" w:type="dxa"/>
          </w:tcPr>
          <w:p w14:paraId="4D8BA03A" w14:textId="77777777" w:rsidR="003D73AA" w:rsidRDefault="003D73AA" w:rsidP="007B68F4">
            <w:r>
              <w:t xml:space="preserve">Ограничения оценки </w:t>
            </w:r>
          </w:p>
        </w:tc>
        <w:tc>
          <w:tcPr>
            <w:tcW w:w="6095" w:type="dxa"/>
          </w:tcPr>
          <w:p w14:paraId="008EBAF3" w14:textId="77777777" w:rsidR="003D73AA" w:rsidRDefault="003D73AA" w:rsidP="007B68F4">
            <w:pPr>
              <w:jc w:val="both"/>
            </w:pPr>
            <w:r>
              <w:t>В процессе оценки могут быть выявлены ограничения в отношении источников информации и объема исследования, например, в связи с невозможностью проведения осмотра объекта оценки. Ограничения могут оказывать существенное влияние на результат оценки (п. 7 ФСО III).</w:t>
            </w:r>
          </w:p>
          <w:p w14:paraId="7EA6A2A3" w14:textId="77777777" w:rsidR="003D73AA" w:rsidRDefault="003D73AA" w:rsidP="007B68F4">
            <w:pPr>
              <w:jc w:val="both"/>
            </w:pPr>
            <w:r>
              <w:t>Ограничения указываются, если они известны на момент составления задания на оценку (</w:t>
            </w:r>
            <w:proofErr w:type="spellStart"/>
            <w:r>
              <w:t>п.п</w:t>
            </w:r>
            <w:proofErr w:type="spellEnd"/>
            <w:r>
              <w:t xml:space="preserve">. 7 п. 3 ФСО </w:t>
            </w:r>
            <w:r>
              <w:rPr>
                <w:lang w:val="en-US"/>
              </w:rPr>
              <w:t>IV</w:t>
            </w:r>
            <w:r>
              <w:t>).</w:t>
            </w:r>
          </w:p>
          <w:p w14:paraId="59BA476B" w14:textId="77777777" w:rsidR="003D73AA" w:rsidRPr="00F06FFB" w:rsidRDefault="003D73AA" w:rsidP="007B68F4">
            <w:pPr>
              <w:jc w:val="both"/>
            </w:pPr>
            <w:r>
              <w:t xml:space="preserve">Дополнительно см. п. </w:t>
            </w:r>
            <w:proofErr w:type="gramStart"/>
            <w:r>
              <w:t>8-9</w:t>
            </w:r>
            <w:proofErr w:type="gramEnd"/>
            <w:r>
              <w:t xml:space="preserve"> ФСО </w:t>
            </w:r>
            <w:r>
              <w:rPr>
                <w:lang w:val="en-US"/>
              </w:rPr>
              <w:t>III</w:t>
            </w:r>
            <w:r w:rsidRPr="00742CEB">
              <w:t>.</w:t>
            </w:r>
          </w:p>
        </w:tc>
        <w:tc>
          <w:tcPr>
            <w:tcW w:w="5351" w:type="dxa"/>
          </w:tcPr>
          <w:p w14:paraId="5A52B128" w14:textId="77777777" w:rsidR="003D73AA" w:rsidRDefault="003D73AA" w:rsidP="007B68F4">
            <w:pPr>
              <w:jc w:val="both"/>
            </w:pPr>
            <w:r>
              <w:t>Оценщиком не производится</w:t>
            </w:r>
            <w:r>
              <w:rPr>
                <w:rStyle w:val="a6"/>
              </w:rPr>
              <w:footnoteReference w:id="7"/>
            </w:r>
            <w:r>
              <w:t xml:space="preserve"> осмотр объекта оценки, вследствие чего оценка производится исходя из технического состояния, описанного в «Заключении о состоянии технических конструкций» от 18.09.2022.</w:t>
            </w:r>
          </w:p>
        </w:tc>
      </w:tr>
      <w:tr w:rsidR="003D73AA" w14:paraId="326DF3A3" w14:textId="77777777" w:rsidTr="007B68F4">
        <w:tc>
          <w:tcPr>
            <w:tcW w:w="562" w:type="dxa"/>
          </w:tcPr>
          <w:p w14:paraId="446F55BE" w14:textId="77777777" w:rsidR="003D73AA" w:rsidRDefault="003D73AA" w:rsidP="007B68F4">
            <w:pPr>
              <w:jc w:val="center"/>
            </w:pPr>
            <w:r>
              <w:t>11</w:t>
            </w:r>
          </w:p>
        </w:tc>
        <w:tc>
          <w:tcPr>
            <w:tcW w:w="2552" w:type="dxa"/>
          </w:tcPr>
          <w:p w14:paraId="7E39397B" w14:textId="77777777" w:rsidR="003D73AA" w:rsidRDefault="003D73AA" w:rsidP="007B68F4">
            <w:r>
              <w:t>Ограничения</w:t>
            </w:r>
            <w:r>
              <w:br/>
              <w:t>на использование, распространение</w:t>
            </w:r>
            <w:r>
              <w:br/>
              <w:t>и публикацию отчета</w:t>
            </w:r>
            <w:r>
              <w:br/>
              <w:t>об оценке объекта оценки</w:t>
            </w:r>
          </w:p>
        </w:tc>
        <w:tc>
          <w:tcPr>
            <w:tcW w:w="6095" w:type="dxa"/>
          </w:tcPr>
          <w:p w14:paraId="745F0D41" w14:textId="77777777" w:rsidR="003D73AA" w:rsidRDefault="003D73AA" w:rsidP="007B68F4">
            <w:pPr>
              <w:jc w:val="both"/>
            </w:pPr>
            <w:r>
              <w:t>За исключением случаев, установленных нормативными правовыми актами РФ (</w:t>
            </w:r>
            <w:proofErr w:type="spellStart"/>
            <w:r>
              <w:t>п.п</w:t>
            </w:r>
            <w:proofErr w:type="spellEnd"/>
            <w:r>
              <w:t xml:space="preserve">. 8 п. 3 ФСО </w:t>
            </w:r>
            <w:r>
              <w:rPr>
                <w:lang w:val="en-US"/>
              </w:rPr>
              <w:t>IV</w:t>
            </w:r>
            <w:r>
              <w:t xml:space="preserve">). То есть писать про </w:t>
            </w:r>
            <w:proofErr w:type="spellStart"/>
            <w:r>
              <w:t>Федресурс</w:t>
            </w:r>
            <w:proofErr w:type="spellEnd"/>
            <w:r>
              <w:t xml:space="preserve"> или СРОО – не надо.</w:t>
            </w:r>
          </w:p>
        </w:tc>
        <w:tc>
          <w:tcPr>
            <w:tcW w:w="5351" w:type="dxa"/>
          </w:tcPr>
          <w:p w14:paraId="7D8C7444" w14:textId="77777777" w:rsidR="003D73AA" w:rsidRDefault="003D73AA" w:rsidP="007B68F4">
            <w:pPr>
              <w:jc w:val="both"/>
            </w:pPr>
            <w:r>
              <w:t>Пример 1. Отсутствуют.</w:t>
            </w:r>
          </w:p>
          <w:p w14:paraId="10554613" w14:textId="77777777" w:rsidR="003D73AA" w:rsidRDefault="003D73AA" w:rsidP="007B68F4">
            <w:pPr>
              <w:spacing w:before="120"/>
              <w:jc w:val="both"/>
            </w:pPr>
            <w:r>
              <w:t>Пример 2. Распространение информации, содержащийся в отчете об оценке, допускается только с письменного разрешения Оценщика.</w:t>
            </w:r>
          </w:p>
        </w:tc>
      </w:tr>
      <w:tr w:rsidR="003D73AA" w14:paraId="29C1229F" w14:textId="77777777" w:rsidTr="007B68F4">
        <w:tc>
          <w:tcPr>
            <w:tcW w:w="562" w:type="dxa"/>
          </w:tcPr>
          <w:p w14:paraId="3F28788D" w14:textId="77777777" w:rsidR="003D73AA" w:rsidRDefault="003D73AA" w:rsidP="007B68F4">
            <w:pPr>
              <w:jc w:val="center"/>
            </w:pPr>
            <w:r>
              <w:t>12</w:t>
            </w:r>
          </w:p>
        </w:tc>
        <w:tc>
          <w:tcPr>
            <w:tcW w:w="2552" w:type="dxa"/>
          </w:tcPr>
          <w:p w14:paraId="0EA585E1" w14:textId="77777777" w:rsidR="003D73AA" w:rsidRDefault="003D73AA" w:rsidP="007B68F4">
            <w:r>
              <w:t>Указание на форму составления отчета</w:t>
            </w:r>
            <w:r>
              <w:br/>
              <w:t>об оценке</w:t>
            </w:r>
          </w:p>
        </w:tc>
        <w:tc>
          <w:tcPr>
            <w:tcW w:w="6095" w:type="dxa"/>
          </w:tcPr>
          <w:p w14:paraId="7F0DB53E" w14:textId="77777777" w:rsidR="003D73AA" w:rsidRDefault="003D73AA" w:rsidP="007B68F4">
            <w:pPr>
              <w:jc w:val="both"/>
            </w:pPr>
            <w:r>
              <w:t>В соответствии с частью второй статьи 11 Федерального закона от 29.07.1998 № 135-ФЗ «Об оценочной деятельности в РФ» (</w:t>
            </w:r>
            <w:proofErr w:type="spellStart"/>
            <w:r>
              <w:t>п.п</w:t>
            </w:r>
            <w:proofErr w:type="spellEnd"/>
            <w:r>
              <w:t xml:space="preserve">. 9 п. 3 ФСО </w:t>
            </w:r>
            <w:r>
              <w:rPr>
                <w:lang w:val="en-US"/>
              </w:rPr>
              <w:t>IV</w:t>
            </w:r>
            <w:r>
              <w:t xml:space="preserve">): </w:t>
            </w:r>
          </w:p>
          <w:p w14:paraId="4BEF07AE" w14:textId="77777777" w:rsidR="003D73AA" w:rsidRDefault="003D73AA" w:rsidP="007B68F4">
            <w:pPr>
              <w:jc w:val="both"/>
            </w:pPr>
            <w:r w:rsidRPr="00545706">
              <w:t>Отчет составляется на бумажном носителе и (или) в форме электронного документа в соответствии с требованиями ФСО, нормативных правовых актов уполномоченного федерального органа, осуществляющего функции по нормативно-правовому регулированию оценочной деятельности.</w:t>
            </w:r>
          </w:p>
          <w:p w14:paraId="2C06774D" w14:textId="77777777" w:rsidR="003D73AA" w:rsidRPr="00545706" w:rsidRDefault="003D73AA" w:rsidP="007B68F4">
            <w:pPr>
              <w:spacing w:before="120"/>
              <w:jc w:val="both"/>
            </w:pPr>
            <w:r>
              <w:t xml:space="preserve">П. 6 ФСО </w:t>
            </w:r>
            <w:r>
              <w:rPr>
                <w:lang w:val="en-US"/>
              </w:rPr>
              <w:t>VI</w:t>
            </w:r>
            <w:r w:rsidRPr="00545706">
              <w:t xml:space="preserve"> </w:t>
            </w:r>
            <w:r>
              <w:t xml:space="preserve">разрешена «смешанная форма»: отчет может состоять из нескольких частей, в одной или в разной форме – как на бумажном носителе, так и в форме электронного документа (характерно, например, для приложений). В таком случае оценщик должен обеспечить идентификацию отчета об оценке как совокупности всех частей, оформленных в </w:t>
            </w:r>
            <w:r>
              <w:lastRenderedPageBreak/>
              <w:t>соответствии с требованиями, установленными в пунктах 4 и 5 настоящего ФСО.</w:t>
            </w:r>
          </w:p>
        </w:tc>
        <w:tc>
          <w:tcPr>
            <w:tcW w:w="5351" w:type="dxa"/>
          </w:tcPr>
          <w:p w14:paraId="0F1B9DB1" w14:textId="77777777" w:rsidR="003D73AA" w:rsidRDefault="003D73AA" w:rsidP="007B68F4">
            <w:r>
              <w:lastRenderedPageBreak/>
              <w:t>Пример 1. На бумажном носителе.</w:t>
            </w:r>
          </w:p>
          <w:p w14:paraId="317D452D" w14:textId="77777777" w:rsidR="003D73AA" w:rsidRDefault="003D73AA" w:rsidP="007B68F4">
            <w:pPr>
              <w:spacing w:before="120"/>
              <w:jc w:val="both"/>
            </w:pPr>
            <w:r>
              <w:t>Пример 2. В форме электронного документа.</w:t>
            </w:r>
          </w:p>
          <w:p w14:paraId="2DD399D4" w14:textId="77777777" w:rsidR="003D73AA" w:rsidRDefault="003D73AA" w:rsidP="007B68F4">
            <w:pPr>
              <w:spacing w:before="120"/>
              <w:jc w:val="both"/>
            </w:pPr>
            <w:r>
              <w:t>Пример 3. Основной том(а) – на бумажном носителе, приложения – в форме электронного документа(</w:t>
            </w:r>
            <w:proofErr w:type="spellStart"/>
            <w:r>
              <w:t>ов</w:t>
            </w:r>
            <w:proofErr w:type="spellEnd"/>
            <w:r>
              <w:t>).</w:t>
            </w:r>
          </w:p>
        </w:tc>
      </w:tr>
      <w:tr w:rsidR="003D73AA" w14:paraId="13A66074" w14:textId="77777777" w:rsidTr="007B68F4">
        <w:tc>
          <w:tcPr>
            <w:tcW w:w="562" w:type="dxa"/>
          </w:tcPr>
          <w:p w14:paraId="715A07F9" w14:textId="77777777" w:rsidR="003D73AA" w:rsidRDefault="003D73AA" w:rsidP="007B68F4">
            <w:pPr>
              <w:jc w:val="center"/>
            </w:pPr>
            <w:r>
              <w:t>13</w:t>
            </w:r>
          </w:p>
        </w:tc>
        <w:tc>
          <w:tcPr>
            <w:tcW w:w="2552" w:type="dxa"/>
          </w:tcPr>
          <w:p w14:paraId="25F0CFF9" w14:textId="77777777" w:rsidR="003D73AA" w:rsidRDefault="003D73AA" w:rsidP="007B68F4">
            <w:r>
              <w:t>Иная информация, предусмотренная ФСО для отражения в</w:t>
            </w:r>
            <w:r>
              <w:rPr>
                <w:lang w:val="en-US"/>
              </w:rPr>
              <w:t> </w:t>
            </w:r>
            <w:r>
              <w:t>задании на оценку</w:t>
            </w:r>
          </w:p>
        </w:tc>
        <w:tc>
          <w:tcPr>
            <w:tcW w:w="6095" w:type="dxa"/>
          </w:tcPr>
          <w:p w14:paraId="22674851" w14:textId="77777777" w:rsidR="003D73AA" w:rsidRDefault="003D73AA" w:rsidP="007B68F4">
            <w:pPr>
              <w:pStyle w:val="a7"/>
              <w:numPr>
                <w:ilvl w:val="0"/>
                <w:numId w:val="2"/>
              </w:numPr>
              <w:ind w:left="454"/>
              <w:jc w:val="both"/>
            </w:pPr>
            <w:r>
              <w:t>для недвижимости – п. 8, 9 ФСО 7;</w:t>
            </w:r>
          </w:p>
          <w:p w14:paraId="6F4E227D" w14:textId="77777777" w:rsidR="003D73AA" w:rsidRDefault="003D73AA" w:rsidP="007B68F4">
            <w:pPr>
              <w:pStyle w:val="a7"/>
              <w:numPr>
                <w:ilvl w:val="0"/>
                <w:numId w:val="2"/>
              </w:numPr>
              <w:ind w:left="454"/>
              <w:jc w:val="both"/>
            </w:pPr>
            <w:r>
              <w:t>для бизнеса – п. 5 ФСО 8;</w:t>
            </w:r>
          </w:p>
          <w:p w14:paraId="238E1829" w14:textId="77777777" w:rsidR="003D73AA" w:rsidRDefault="003D73AA" w:rsidP="007B68F4">
            <w:pPr>
              <w:pStyle w:val="a7"/>
              <w:numPr>
                <w:ilvl w:val="0"/>
                <w:numId w:val="2"/>
              </w:numPr>
              <w:ind w:left="454"/>
              <w:jc w:val="both"/>
            </w:pPr>
            <w:r>
              <w:t xml:space="preserve">для машин и оборудования – п. </w:t>
            </w:r>
            <w:proofErr w:type="gramStart"/>
            <w:r>
              <w:t>6 – 9</w:t>
            </w:r>
            <w:proofErr w:type="gramEnd"/>
            <w:r>
              <w:t xml:space="preserve"> ФСО 10;</w:t>
            </w:r>
          </w:p>
          <w:p w14:paraId="1D41B563" w14:textId="77777777" w:rsidR="003D73AA" w:rsidRPr="00AF3F5E" w:rsidRDefault="003D73AA" w:rsidP="007B68F4">
            <w:pPr>
              <w:pStyle w:val="a7"/>
              <w:numPr>
                <w:ilvl w:val="0"/>
                <w:numId w:val="2"/>
              </w:numPr>
              <w:ind w:left="454"/>
              <w:jc w:val="both"/>
            </w:pPr>
            <w:r>
              <w:t xml:space="preserve">для нематериальных активов и интеллектуальной собственности – п. </w:t>
            </w:r>
            <w:proofErr w:type="gramStart"/>
            <w:r>
              <w:t>8 – 9</w:t>
            </w:r>
            <w:proofErr w:type="gramEnd"/>
            <w:r>
              <w:t xml:space="preserve"> ФСО 11.</w:t>
            </w:r>
          </w:p>
        </w:tc>
        <w:tc>
          <w:tcPr>
            <w:tcW w:w="5351" w:type="dxa"/>
          </w:tcPr>
          <w:p w14:paraId="7CD85E4B" w14:textId="77777777" w:rsidR="003D73AA" w:rsidRDefault="003D73AA" w:rsidP="007B68F4"/>
        </w:tc>
      </w:tr>
      <w:tr w:rsidR="003D73AA" w14:paraId="51B3DD69" w14:textId="77777777" w:rsidTr="007B68F4">
        <w:tc>
          <w:tcPr>
            <w:tcW w:w="14560" w:type="dxa"/>
            <w:gridSpan w:val="4"/>
          </w:tcPr>
          <w:p w14:paraId="70CF09B2" w14:textId="77777777" w:rsidR="003D73AA" w:rsidRDefault="003D73AA" w:rsidP="007B68F4">
            <w:pPr>
              <w:jc w:val="center"/>
            </w:pPr>
            <w:r>
              <w:rPr>
                <w:i/>
                <w:iCs/>
              </w:rPr>
              <w:t>Опциональные</w:t>
            </w:r>
            <w:r w:rsidRPr="0054477B">
              <w:rPr>
                <w:i/>
                <w:iCs/>
              </w:rPr>
              <w:t xml:space="preserve"> элементы</w:t>
            </w:r>
          </w:p>
        </w:tc>
      </w:tr>
      <w:tr w:rsidR="003D73AA" w14:paraId="0A0A4DA9" w14:textId="77777777" w:rsidTr="007B68F4">
        <w:tc>
          <w:tcPr>
            <w:tcW w:w="562" w:type="dxa"/>
          </w:tcPr>
          <w:p w14:paraId="7C41E6C6" w14:textId="77777777" w:rsidR="003D73AA" w:rsidRDefault="003D73AA" w:rsidP="007B68F4">
            <w:pPr>
              <w:jc w:val="center"/>
            </w:pPr>
            <w:r>
              <w:t>14</w:t>
            </w:r>
          </w:p>
        </w:tc>
        <w:tc>
          <w:tcPr>
            <w:tcW w:w="2552" w:type="dxa"/>
          </w:tcPr>
          <w:p w14:paraId="073F2DC6" w14:textId="77777777" w:rsidR="003D73AA" w:rsidRDefault="003D73AA" w:rsidP="007B68F4">
            <w:r>
              <w:t>Состав и объем документов</w:t>
            </w:r>
            <w:r>
              <w:br/>
              <w:t>и материалов, представляемых заказчиком оценки</w:t>
            </w:r>
          </w:p>
        </w:tc>
        <w:tc>
          <w:tcPr>
            <w:tcW w:w="6095" w:type="dxa"/>
          </w:tcPr>
          <w:p w14:paraId="1DCBB184" w14:textId="77777777" w:rsidR="003D73AA" w:rsidRPr="00910A3F" w:rsidRDefault="003D73AA" w:rsidP="007B68F4">
            <w:proofErr w:type="spellStart"/>
            <w:r w:rsidRPr="00910A3F">
              <w:t>П.п</w:t>
            </w:r>
            <w:proofErr w:type="spellEnd"/>
            <w:r w:rsidRPr="00910A3F">
              <w:t xml:space="preserve">. 1 п. 4 ФСО </w:t>
            </w:r>
            <w:r w:rsidRPr="00910A3F">
              <w:rPr>
                <w:lang w:val="en-US"/>
              </w:rPr>
              <w:t>IV</w:t>
            </w:r>
            <w:r w:rsidRPr="00910A3F">
              <w:t>.</w:t>
            </w:r>
          </w:p>
          <w:p w14:paraId="2A65CB5A" w14:textId="77777777" w:rsidR="003D73AA" w:rsidRPr="00910A3F" w:rsidRDefault="003D73AA" w:rsidP="007B68F4">
            <w:pPr>
              <w:jc w:val="both"/>
            </w:pPr>
            <w:r w:rsidRPr="00910A3F">
              <w:t xml:space="preserve">Например, можно закрепить обязательность предоставления конкретного документа (ГПЗУ, Технический паспорт, бизнес-план, ТЭО и </w:t>
            </w:r>
            <w:proofErr w:type="gramStart"/>
            <w:r w:rsidRPr="00910A3F">
              <w:t>т.д.</w:t>
            </w:r>
            <w:proofErr w:type="gramEnd"/>
            <w:r w:rsidRPr="00910A3F">
              <w:t>).</w:t>
            </w:r>
          </w:p>
        </w:tc>
        <w:tc>
          <w:tcPr>
            <w:tcW w:w="5351" w:type="dxa"/>
          </w:tcPr>
          <w:p w14:paraId="1E371097" w14:textId="77777777" w:rsidR="003D73AA" w:rsidRPr="00910A3F" w:rsidRDefault="003D73AA" w:rsidP="007B68F4">
            <w:pPr>
              <w:jc w:val="both"/>
            </w:pPr>
            <w:r w:rsidRPr="00910A3F">
              <w:t>Состав документов и материалов: бухгалтерская отчетность, технические паспорта, …</w:t>
            </w:r>
          </w:p>
          <w:p w14:paraId="418442FA" w14:textId="77777777" w:rsidR="003D73AA" w:rsidRPr="00910A3F" w:rsidRDefault="003D73AA" w:rsidP="007B68F4">
            <w:pPr>
              <w:jc w:val="both"/>
            </w:pPr>
            <w:r w:rsidRPr="00910A3F">
              <w:t xml:space="preserve">Объем документов и материалов: бухгалтерская отчетность предоставляется в объеме формы №1, 2 бухгалтерского баланса за </w:t>
            </w:r>
            <w:proofErr w:type="gramStart"/>
            <w:r w:rsidRPr="00910A3F">
              <w:t>2015-2021</w:t>
            </w:r>
            <w:proofErr w:type="gramEnd"/>
            <w:r w:rsidRPr="00910A3F">
              <w:t xml:space="preserve"> годы.</w:t>
            </w:r>
          </w:p>
        </w:tc>
      </w:tr>
      <w:tr w:rsidR="003D73AA" w14:paraId="3D5EA454" w14:textId="77777777" w:rsidTr="007B68F4">
        <w:tc>
          <w:tcPr>
            <w:tcW w:w="562" w:type="dxa"/>
          </w:tcPr>
          <w:p w14:paraId="485201E5" w14:textId="77777777" w:rsidR="003D73AA" w:rsidRDefault="003D73AA" w:rsidP="007B68F4">
            <w:pPr>
              <w:jc w:val="center"/>
            </w:pPr>
            <w:r>
              <w:t>15</w:t>
            </w:r>
          </w:p>
        </w:tc>
        <w:tc>
          <w:tcPr>
            <w:tcW w:w="2552" w:type="dxa"/>
          </w:tcPr>
          <w:p w14:paraId="0D1F7C32" w14:textId="77777777" w:rsidR="003D73AA" w:rsidRDefault="003D73AA" w:rsidP="007B68F4">
            <w:r>
              <w:t>Необходимость привлечения внешних организаций и квалифицированных отраслевых специалистов</w:t>
            </w:r>
          </w:p>
        </w:tc>
        <w:tc>
          <w:tcPr>
            <w:tcW w:w="6095" w:type="dxa"/>
          </w:tcPr>
          <w:p w14:paraId="0BEC4104" w14:textId="77777777" w:rsidR="003D73AA" w:rsidRDefault="003D73AA" w:rsidP="007B68F4">
            <w:pPr>
              <w:jc w:val="both"/>
            </w:pPr>
            <w:proofErr w:type="spellStart"/>
            <w:r>
              <w:t>П.п</w:t>
            </w:r>
            <w:proofErr w:type="spellEnd"/>
            <w:r>
              <w:t xml:space="preserve">. 2 п. 4 ФСО </w:t>
            </w:r>
            <w:r w:rsidRPr="00526C5D">
              <w:t>IV</w:t>
            </w:r>
            <w:r>
              <w:t xml:space="preserve">, с учетом положений п. 2 ФСО </w:t>
            </w:r>
            <w:r w:rsidRPr="00526C5D">
              <w:t>III</w:t>
            </w:r>
            <w:r w:rsidRPr="00624E10">
              <w:t>.</w:t>
            </w:r>
          </w:p>
          <w:p w14:paraId="0186E86F" w14:textId="77777777" w:rsidR="003D73AA" w:rsidRDefault="003D73AA" w:rsidP="007B68F4">
            <w:pPr>
              <w:jc w:val="both"/>
            </w:pPr>
            <w:r>
              <w:t>Например,</w:t>
            </w:r>
            <w:r w:rsidRPr="00526C5D">
              <w:t xml:space="preserve"> </w:t>
            </w:r>
            <w:r>
              <w:t>в данном пункте могут быть указаны:</w:t>
            </w:r>
          </w:p>
          <w:p w14:paraId="2F8FA3B8" w14:textId="77777777" w:rsidR="003D73AA" w:rsidRDefault="003D73AA" w:rsidP="007B68F4">
            <w:pPr>
              <w:pStyle w:val="a7"/>
              <w:numPr>
                <w:ilvl w:val="0"/>
                <w:numId w:val="2"/>
              </w:numPr>
              <w:ind w:left="454"/>
              <w:jc w:val="both"/>
            </w:pPr>
            <w:r>
              <w:t xml:space="preserve">вопросы, для формирования </w:t>
            </w:r>
            <w:proofErr w:type="gramStart"/>
            <w:r>
              <w:t>позиции</w:t>
            </w:r>
            <w:proofErr w:type="gramEnd"/>
            <w:r>
              <w:t xml:space="preserve"> по которым необходимо привлечение внешних специалистов и организаций;</w:t>
            </w:r>
          </w:p>
          <w:p w14:paraId="3488A8EE" w14:textId="77777777" w:rsidR="003D73AA" w:rsidRPr="008611D1" w:rsidRDefault="003D73AA" w:rsidP="007B68F4">
            <w:pPr>
              <w:pStyle w:val="a7"/>
              <w:numPr>
                <w:ilvl w:val="0"/>
                <w:numId w:val="2"/>
              </w:numPr>
              <w:ind w:left="454"/>
              <w:jc w:val="both"/>
            </w:pPr>
            <w:r w:rsidRPr="008611D1">
              <w:t>критерии, которым должны удовлетворять привлекаемые внешние специалисты / организации;</w:t>
            </w:r>
          </w:p>
          <w:p w14:paraId="79C584B1" w14:textId="77777777" w:rsidR="003D73AA" w:rsidRPr="008611D1" w:rsidRDefault="003D73AA" w:rsidP="007B68F4">
            <w:pPr>
              <w:pStyle w:val="a7"/>
              <w:numPr>
                <w:ilvl w:val="0"/>
                <w:numId w:val="2"/>
              </w:numPr>
              <w:ind w:left="454"/>
              <w:jc w:val="both"/>
            </w:pPr>
            <w:r w:rsidRPr="008611D1">
              <w:t>необходимость согласования привлекаемых внешних специалистов и организаций с заказчиком оценки.</w:t>
            </w:r>
          </w:p>
          <w:p w14:paraId="298074C6" w14:textId="77777777" w:rsidR="003D73AA" w:rsidRPr="00910A3F" w:rsidRDefault="003D73AA" w:rsidP="007B68F4">
            <w:pPr>
              <w:jc w:val="both"/>
            </w:pPr>
            <w:r w:rsidRPr="008611D1">
              <w:t>В том числе возможно привлекать организации и</w:t>
            </w:r>
            <w:r w:rsidRPr="008611D1">
              <w:rPr>
                <w:lang w:val="en-US"/>
              </w:rPr>
              <w:t> </w:t>
            </w:r>
            <w:r w:rsidRPr="008611D1">
              <w:t xml:space="preserve">специалистов для проверки и аудита по направлениям, указанным в п.2 ФСО </w:t>
            </w:r>
            <w:r w:rsidRPr="008611D1">
              <w:rPr>
                <w:lang w:val="en-US"/>
              </w:rPr>
              <w:t>III</w:t>
            </w:r>
            <w:r w:rsidRPr="008611D1">
              <w:t xml:space="preserve"> (например, см. п. 9 ФСО 7 про величину затрат на устранение экологического загрязнения и/или рекультивацию земельного участка).</w:t>
            </w:r>
          </w:p>
        </w:tc>
        <w:tc>
          <w:tcPr>
            <w:tcW w:w="5351" w:type="dxa"/>
          </w:tcPr>
          <w:p w14:paraId="400C928B" w14:textId="77777777" w:rsidR="003D73AA" w:rsidRPr="00624E10" w:rsidRDefault="003D73AA" w:rsidP="007B68F4">
            <w:pPr>
              <w:jc w:val="both"/>
            </w:pPr>
            <w:r>
              <w:t xml:space="preserve">Для определения вероятности </w:t>
            </w:r>
            <w:r w:rsidRPr="00624E10">
              <w:t xml:space="preserve">/ </w:t>
            </w:r>
            <w:r>
              <w:t>возможности расторжения долгосрочного договора аренды от … № … привлекается внешняя юридическая организация (по согласованию с заказчиком).</w:t>
            </w:r>
          </w:p>
        </w:tc>
      </w:tr>
      <w:tr w:rsidR="003D73AA" w14:paraId="44EEA40B" w14:textId="77777777" w:rsidTr="007B68F4">
        <w:tc>
          <w:tcPr>
            <w:tcW w:w="562" w:type="dxa"/>
          </w:tcPr>
          <w:p w14:paraId="72D30F71" w14:textId="77777777" w:rsidR="003D73AA" w:rsidRDefault="003D73AA" w:rsidP="007B68F4">
            <w:pPr>
              <w:jc w:val="center"/>
            </w:pPr>
            <w:r>
              <w:t>16</w:t>
            </w:r>
          </w:p>
        </w:tc>
        <w:tc>
          <w:tcPr>
            <w:tcW w:w="2552" w:type="dxa"/>
          </w:tcPr>
          <w:p w14:paraId="26045598" w14:textId="77777777" w:rsidR="003D73AA" w:rsidRDefault="003D73AA" w:rsidP="007B68F4">
            <w:r>
              <w:t>Сведения</w:t>
            </w:r>
          </w:p>
          <w:p w14:paraId="0F545F4B" w14:textId="77777777" w:rsidR="003D73AA" w:rsidRDefault="003D73AA" w:rsidP="007B68F4">
            <w:r>
              <w:t>о предполагаемых пользователях результата оценки</w:t>
            </w:r>
          </w:p>
          <w:p w14:paraId="32D88721" w14:textId="77777777" w:rsidR="003D73AA" w:rsidRDefault="003D73AA" w:rsidP="007B68F4">
            <w:r>
              <w:lastRenderedPageBreak/>
              <w:t>и отчета об оценке (помимо заказчика оценки)</w:t>
            </w:r>
          </w:p>
        </w:tc>
        <w:tc>
          <w:tcPr>
            <w:tcW w:w="6095" w:type="dxa"/>
          </w:tcPr>
          <w:p w14:paraId="37C4D062" w14:textId="77777777" w:rsidR="003D73AA" w:rsidRDefault="003D73AA" w:rsidP="007B68F4">
            <w:pPr>
              <w:jc w:val="both"/>
            </w:pPr>
            <w:proofErr w:type="spellStart"/>
            <w:r>
              <w:lastRenderedPageBreak/>
              <w:t>П.п</w:t>
            </w:r>
            <w:proofErr w:type="spellEnd"/>
            <w:r>
              <w:t xml:space="preserve">. 3 п. 4 ФСО </w:t>
            </w:r>
            <w:r>
              <w:rPr>
                <w:lang w:val="en-US"/>
              </w:rPr>
              <w:t>IV</w:t>
            </w:r>
            <w:r w:rsidRPr="00D1453D">
              <w:t>.</w:t>
            </w:r>
          </w:p>
          <w:p w14:paraId="147B1FD0" w14:textId="77777777" w:rsidR="003D73AA" w:rsidRDefault="003D73AA" w:rsidP="007B68F4">
            <w:pPr>
              <w:jc w:val="both"/>
            </w:pPr>
            <w:r>
              <w:t>Понимание соответствующей информации со стороны Оценщика необходимо для учета специфических требований к отчету об оценке (при их наличии), а также общего понимания рисков проекта.</w:t>
            </w:r>
          </w:p>
        </w:tc>
        <w:tc>
          <w:tcPr>
            <w:tcW w:w="5351" w:type="dxa"/>
          </w:tcPr>
          <w:p w14:paraId="52802ABB" w14:textId="77777777" w:rsidR="003D73AA" w:rsidRDefault="003D73AA" w:rsidP="007B68F4">
            <w:pPr>
              <w:jc w:val="both"/>
            </w:pPr>
            <w:r>
              <w:t>Пример 1. Центральный Банк Российской Федерации.</w:t>
            </w:r>
          </w:p>
          <w:p w14:paraId="19F41C4E" w14:textId="77777777" w:rsidR="003D73AA" w:rsidRDefault="003D73AA" w:rsidP="007B68F4">
            <w:pPr>
              <w:spacing w:before="120"/>
              <w:jc w:val="both"/>
            </w:pPr>
            <w:r>
              <w:t>Пример 2. Акционеры оцениваемой компании.</w:t>
            </w:r>
          </w:p>
        </w:tc>
      </w:tr>
      <w:tr w:rsidR="003D73AA" w14:paraId="7B68A6A0" w14:textId="77777777" w:rsidTr="007B68F4">
        <w:tc>
          <w:tcPr>
            <w:tcW w:w="562" w:type="dxa"/>
          </w:tcPr>
          <w:p w14:paraId="12180D52" w14:textId="77777777" w:rsidR="003D73AA" w:rsidRDefault="003D73AA" w:rsidP="007B68F4">
            <w:pPr>
              <w:jc w:val="center"/>
            </w:pPr>
            <w:r>
              <w:t>17</w:t>
            </w:r>
          </w:p>
        </w:tc>
        <w:tc>
          <w:tcPr>
            <w:tcW w:w="2552" w:type="dxa"/>
          </w:tcPr>
          <w:p w14:paraId="3FC3B5AA" w14:textId="77777777" w:rsidR="003D73AA" w:rsidRDefault="003D73AA" w:rsidP="007B68F4">
            <w:r>
              <w:t>Формы представления итоговой стоимости</w:t>
            </w:r>
          </w:p>
          <w:p w14:paraId="521D2169" w14:textId="77777777" w:rsidR="003D73AA" w:rsidRPr="00263511" w:rsidRDefault="003D73AA" w:rsidP="007B68F4"/>
          <w:p w14:paraId="42978D24" w14:textId="77777777" w:rsidR="003D73AA" w:rsidRPr="00263511" w:rsidRDefault="003D73AA" w:rsidP="007B68F4">
            <w:pPr>
              <w:jc w:val="center"/>
            </w:pPr>
          </w:p>
        </w:tc>
        <w:tc>
          <w:tcPr>
            <w:tcW w:w="6095" w:type="dxa"/>
          </w:tcPr>
          <w:p w14:paraId="4B0E694E" w14:textId="77777777" w:rsidR="003D73AA" w:rsidRPr="00D1453D" w:rsidRDefault="003D73AA" w:rsidP="007B68F4">
            <w:proofErr w:type="spellStart"/>
            <w:r>
              <w:t>П.п</w:t>
            </w:r>
            <w:proofErr w:type="spellEnd"/>
            <w:r>
              <w:t xml:space="preserve">. 4 п. 4 ФСО </w:t>
            </w:r>
            <w:r>
              <w:rPr>
                <w:lang w:val="en-US"/>
              </w:rPr>
              <w:t>IV</w:t>
            </w:r>
            <w:r w:rsidRPr="00D1453D">
              <w:t>.</w:t>
            </w:r>
          </w:p>
          <w:p w14:paraId="02EABD44" w14:textId="77777777" w:rsidR="003D73AA" w:rsidRDefault="003D73AA" w:rsidP="007B68F4">
            <w:r>
              <w:t>Например:</w:t>
            </w:r>
          </w:p>
          <w:p w14:paraId="026B8AB6" w14:textId="77777777" w:rsidR="003D73AA" w:rsidRDefault="003D73AA" w:rsidP="007B68F4">
            <w:pPr>
              <w:pStyle w:val="a7"/>
              <w:numPr>
                <w:ilvl w:val="0"/>
                <w:numId w:val="2"/>
              </w:numPr>
              <w:ind w:left="454"/>
              <w:jc w:val="both"/>
            </w:pPr>
            <w:r>
              <w:t>в виде интервала значений,</w:t>
            </w:r>
          </w:p>
          <w:p w14:paraId="72B513A6" w14:textId="77777777" w:rsidR="003D73AA" w:rsidRDefault="003D73AA" w:rsidP="007B68F4">
            <w:pPr>
              <w:pStyle w:val="a7"/>
              <w:numPr>
                <w:ilvl w:val="0"/>
                <w:numId w:val="2"/>
              </w:numPr>
              <w:ind w:left="454"/>
              <w:jc w:val="both"/>
            </w:pPr>
            <w:r>
              <w:t>в валюте, в которой должна быть представлена стоимость в соответствии с п. 14 ФСО.</w:t>
            </w:r>
          </w:p>
          <w:p w14:paraId="27BFCC99" w14:textId="77777777" w:rsidR="003D73AA" w:rsidRPr="00485C84" w:rsidRDefault="003D73AA" w:rsidP="007B68F4">
            <w:pPr>
              <w:jc w:val="both"/>
            </w:pPr>
            <w:r>
              <w:t>Если данный параметр не указан, то следует руководствоваться п. 12 ФСО I</w:t>
            </w:r>
            <w:r>
              <w:rPr>
                <w:lang w:val="en-US"/>
              </w:rPr>
              <w:t>II</w:t>
            </w:r>
            <w:r>
              <w:t>, а также требованиями специальных ФСО (например, 30 ФСО).</w:t>
            </w:r>
          </w:p>
        </w:tc>
        <w:tc>
          <w:tcPr>
            <w:tcW w:w="5351" w:type="dxa"/>
          </w:tcPr>
          <w:p w14:paraId="0418E12D" w14:textId="77777777" w:rsidR="003D73AA" w:rsidRDefault="003D73AA" w:rsidP="007B68F4">
            <w:pPr>
              <w:jc w:val="both"/>
            </w:pPr>
            <w:r>
              <w:t>Пример 1. Результат оценки должен быть представлен в виде числа в валюте Российской Федерации.</w:t>
            </w:r>
          </w:p>
          <w:p w14:paraId="49833BC9" w14:textId="77777777" w:rsidR="003D73AA" w:rsidRDefault="003D73AA" w:rsidP="007B68F4">
            <w:pPr>
              <w:spacing w:before="120"/>
              <w:jc w:val="both"/>
            </w:pPr>
            <w:r>
              <w:t>Пример 2. Результат оценки должен быть представлен в виде интервала значений, в границах которого может лежать величина стоимости объекта оценки.</w:t>
            </w:r>
          </w:p>
          <w:p w14:paraId="4A996FF3" w14:textId="77777777" w:rsidR="003D73AA" w:rsidRDefault="003D73AA" w:rsidP="007B68F4">
            <w:pPr>
              <w:spacing w:before="120"/>
              <w:jc w:val="both"/>
            </w:pPr>
            <w:r>
              <w:t xml:space="preserve">Пример 3. Результат оценки должен быть представлен в </w:t>
            </w:r>
            <w:r w:rsidRPr="00485C84">
              <w:t>[</w:t>
            </w:r>
            <w:r>
              <w:t>наименование валюты</w:t>
            </w:r>
            <w:r w:rsidRPr="00485C84">
              <w:t>]</w:t>
            </w:r>
            <w:r>
              <w:t xml:space="preserve"> с указанием эквивалента в рублях Российской Федерации.</w:t>
            </w:r>
          </w:p>
        </w:tc>
      </w:tr>
      <w:tr w:rsidR="003D73AA" w14:paraId="766D412A" w14:textId="77777777" w:rsidTr="007B68F4">
        <w:tc>
          <w:tcPr>
            <w:tcW w:w="562" w:type="dxa"/>
          </w:tcPr>
          <w:p w14:paraId="78CD30CC" w14:textId="77777777" w:rsidR="003D73AA" w:rsidRDefault="003D73AA" w:rsidP="007B68F4">
            <w:pPr>
              <w:jc w:val="center"/>
            </w:pPr>
            <w:r>
              <w:t>18</w:t>
            </w:r>
          </w:p>
        </w:tc>
        <w:tc>
          <w:tcPr>
            <w:tcW w:w="2552" w:type="dxa"/>
          </w:tcPr>
          <w:p w14:paraId="72D5F8DE" w14:textId="77777777" w:rsidR="003D73AA" w:rsidRDefault="003D73AA" w:rsidP="007B68F4">
            <w:r>
              <w:t>Специфические требования к отчету об оценке</w:t>
            </w:r>
          </w:p>
        </w:tc>
        <w:tc>
          <w:tcPr>
            <w:tcW w:w="6095" w:type="dxa"/>
          </w:tcPr>
          <w:p w14:paraId="15B9591B" w14:textId="77777777" w:rsidR="003D73AA" w:rsidRDefault="003D73AA" w:rsidP="007B68F4">
            <w:pPr>
              <w:jc w:val="both"/>
            </w:pPr>
            <w:proofErr w:type="spellStart"/>
            <w:r>
              <w:t>П.п</w:t>
            </w:r>
            <w:proofErr w:type="spellEnd"/>
            <w:r>
              <w:t xml:space="preserve">. </w:t>
            </w:r>
            <w:r w:rsidRPr="00D1453D">
              <w:t>5</w:t>
            </w:r>
            <w:r>
              <w:t xml:space="preserve"> п. 4 ФСО </w:t>
            </w:r>
            <w:r>
              <w:rPr>
                <w:lang w:val="en-US"/>
              </w:rPr>
              <w:t>IV</w:t>
            </w:r>
            <w:r w:rsidRPr="00D1453D">
              <w:t>.</w:t>
            </w:r>
            <w:r>
              <w:t xml:space="preserve"> Например, в отношении формы и объема раскрытия в отчете информации, не противоречащие ФСО VI.</w:t>
            </w:r>
          </w:p>
          <w:p w14:paraId="029C2F6A" w14:textId="77777777" w:rsidR="003D73AA" w:rsidRDefault="003D73AA" w:rsidP="007B68F4">
            <w:r>
              <w:t>Например:</w:t>
            </w:r>
          </w:p>
          <w:p w14:paraId="3CD39760" w14:textId="77777777" w:rsidR="003D73AA" w:rsidRDefault="003D73AA" w:rsidP="007B68F4">
            <w:pPr>
              <w:pStyle w:val="a7"/>
              <w:numPr>
                <w:ilvl w:val="0"/>
                <w:numId w:val="2"/>
              </w:numPr>
              <w:ind w:left="454"/>
              <w:jc w:val="both"/>
            </w:pPr>
            <w:r>
              <w:t>учет профильных требований банка – заказчика;</w:t>
            </w:r>
          </w:p>
          <w:p w14:paraId="1C631B9D" w14:textId="77777777" w:rsidR="003D73AA" w:rsidRDefault="003D73AA" w:rsidP="007B68F4">
            <w:pPr>
              <w:pStyle w:val="a7"/>
              <w:numPr>
                <w:ilvl w:val="0"/>
                <w:numId w:val="2"/>
              </w:numPr>
              <w:ind w:left="454"/>
              <w:jc w:val="both"/>
            </w:pPr>
            <w:r>
              <w:t>детализация раскрытия информации в отчете в соответствии с п. 9 ФСО VI.</w:t>
            </w:r>
          </w:p>
        </w:tc>
        <w:tc>
          <w:tcPr>
            <w:tcW w:w="5351" w:type="dxa"/>
          </w:tcPr>
          <w:p w14:paraId="2127296F" w14:textId="77777777" w:rsidR="003D73AA" w:rsidRDefault="003D73AA" w:rsidP="007B68F4">
            <w:pPr>
              <w:jc w:val="both"/>
            </w:pPr>
            <w:r>
              <w:t xml:space="preserve">Детализация раскрытия информации в отчете – с учетом требований к отчету об оценке, установленных Приказом </w:t>
            </w:r>
            <w:r w:rsidRPr="00D1453D">
              <w:t>[</w:t>
            </w:r>
            <w:r>
              <w:t>наименование органа</w:t>
            </w:r>
            <w:r w:rsidRPr="00D1453D">
              <w:t xml:space="preserve">] </w:t>
            </w:r>
            <w:r>
              <w:t xml:space="preserve">от … № …, в объеме, не противоречащем </w:t>
            </w:r>
            <w:proofErr w:type="gramStart"/>
            <w:r>
              <w:t>действующему</w:t>
            </w:r>
            <w:proofErr w:type="gramEnd"/>
            <w:r>
              <w:t xml:space="preserve"> законодательствую об оценочной деятельности.</w:t>
            </w:r>
          </w:p>
        </w:tc>
      </w:tr>
      <w:tr w:rsidR="003D73AA" w14:paraId="25D6CE8C" w14:textId="77777777" w:rsidTr="007B68F4">
        <w:tc>
          <w:tcPr>
            <w:tcW w:w="562" w:type="dxa"/>
          </w:tcPr>
          <w:p w14:paraId="5869F127" w14:textId="77777777" w:rsidR="003D73AA" w:rsidRDefault="003D73AA" w:rsidP="007B68F4">
            <w:pPr>
              <w:jc w:val="center"/>
            </w:pPr>
            <w:r>
              <w:t>19</w:t>
            </w:r>
          </w:p>
        </w:tc>
        <w:tc>
          <w:tcPr>
            <w:tcW w:w="2552" w:type="dxa"/>
          </w:tcPr>
          <w:p w14:paraId="7355399C" w14:textId="77777777" w:rsidR="003D73AA" w:rsidRDefault="003D73AA" w:rsidP="007B68F4">
            <w:r>
              <w:t>Указание на необходимость проведения дополнительных исследований и определения иных расчетных величин, которые не являются результатами оценки в соответствии с ФСО</w:t>
            </w:r>
          </w:p>
        </w:tc>
        <w:tc>
          <w:tcPr>
            <w:tcW w:w="6095" w:type="dxa"/>
          </w:tcPr>
          <w:p w14:paraId="27900AB6" w14:textId="77777777" w:rsidR="003D73AA" w:rsidRPr="003D0687" w:rsidRDefault="003D73AA" w:rsidP="007B68F4">
            <w:proofErr w:type="spellStart"/>
            <w:r>
              <w:t>П.п</w:t>
            </w:r>
            <w:proofErr w:type="spellEnd"/>
            <w:r>
              <w:t xml:space="preserve">. 6 п. 4 ФСО </w:t>
            </w:r>
            <w:r>
              <w:rPr>
                <w:lang w:val="en-US"/>
              </w:rPr>
              <w:t>IV</w:t>
            </w:r>
            <w:r w:rsidRPr="003D0687">
              <w:t>.</w:t>
            </w:r>
          </w:p>
          <w:p w14:paraId="5BF7B777" w14:textId="77777777" w:rsidR="003D73AA" w:rsidRDefault="003D73AA" w:rsidP="007B68F4">
            <w:r>
              <w:t>Например, для недвижимости – см. п. 9 ФСО 7.</w:t>
            </w:r>
          </w:p>
        </w:tc>
        <w:tc>
          <w:tcPr>
            <w:tcW w:w="5351" w:type="dxa"/>
          </w:tcPr>
          <w:p w14:paraId="494637C8" w14:textId="77777777" w:rsidR="003D73AA" w:rsidRDefault="003D73AA" w:rsidP="007B68F4">
            <w:pPr>
              <w:jc w:val="both"/>
            </w:pPr>
            <w:r>
              <w:t xml:space="preserve">Установлению подлежит </w:t>
            </w:r>
            <w:r>
              <w:rPr>
                <w:rFonts w:ascii="Arial" w:hAnsi="Arial" w:cs="Arial"/>
                <w:color w:val="000000"/>
                <w:sz w:val="20"/>
                <w:szCs w:val="20"/>
                <w:shd w:val="clear" w:color="auto" w:fill="FFFFFF"/>
              </w:rPr>
              <w:t xml:space="preserve">затраты на создание (воспроизводство или замещение) объектов капитального строительства. </w:t>
            </w:r>
            <w:r w:rsidRPr="003637DC">
              <w:t>Данная величина не</w:t>
            </w:r>
            <w:r>
              <w:t> </w:t>
            </w:r>
            <w:r w:rsidRPr="003637DC">
              <w:t>является результатом оценки.</w:t>
            </w:r>
          </w:p>
        </w:tc>
      </w:tr>
    </w:tbl>
    <w:p w14:paraId="1DE8F717" w14:textId="75CD730E" w:rsidR="00BF16AD" w:rsidRPr="00BF16AD" w:rsidRDefault="00BF16AD" w:rsidP="00834FD3">
      <w:pPr>
        <w:spacing w:before="120" w:after="120"/>
        <w:jc w:val="both"/>
      </w:pPr>
    </w:p>
    <w:sectPr w:rsidR="00BF16AD" w:rsidRPr="00BF16AD" w:rsidSect="007D2783">
      <w:footerReference w:type="default" r:id="rId9"/>
      <w:pgSz w:w="16838" w:h="11906" w:orient="landscape"/>
      <w:pgMar w:top="1418" w:right="1134" w:bottom="850" w:left="1134" w:header="51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13D06" w14:textId="77777777" w:rsidR="006A1F74" w:rsidRDefault="006A1F74" w:rsidP="0054477B">
      <w:pPr>
        <w:spacing w:after="0" w:line="240" w:lineRule="auto"/>
      </w:pPr>
      <w:r>
        <w:separator/>
      </w:r>
    </w:p>
  </w:endnote>
  <w:endnote w:type="continuationSeparator" w:id="0">
    <w:p w14:paraId="6692708A" w14:textId="77777777" w:rsidR="006A1F74" w:rsidRDefault="006A1F74" w:rsidP="0054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42854"/>
      <w:docPartObj>
        <w:docPartGallery w:val="Page Numbers (Bottom of Page)"/>
        <w:docPartUnique/>
      </w:docPartObj>
    </w:sdtPr>
    <w:sdtEndPr>
      <w:rPr>
        <w:sz w:val="20"/>
        <w:szCs w:val="20"/>
      </w:rPr>
    </w:sdtEndPr>
    <w:sdtContent>
      <w:p w14:paraId="543E5EF3" w14:textId="5CD36466" w:rsidR="009D348D" w:rsidRPr="00B60C4E" w:rsidRDefault="009D348D" w:rsidP="00DD59D4">
        <w:pPr>
          <w:pStyle w:val="aa"/>
          <w:pBdr>
            <w:top w:val="single" w:sz="4" w:space="1" w:color="auto"/>
          </w:pBdr>
          <w:jc w:val="right"/>
          <w:rPr>
            <w:sz w:val="20"/>
            <w:szCs w:val="20"/>
          </w:rPr>
        </w:pPr>
        <w:r w:rsidRPr="00B60C4E">
          <w:rPr>
            <w:sz w:val="20"/>
            <w:szCs w:val="20"/>
          </w:rPr>
          <w:t>Методические материалы Ассоциации «СРОО «Экспертный совет»</w:t>
        </w:r>
        <w:r w:rsidR="00DD59D4" w:rsidRPr="00B60C4E">
          <w:rPr>
            <w:sz w:val="20"/>
            <w:szCs w:val="20"/>
          </w:rPr>
          <w:t xml:space="preserve"> – </w:t>
        </w:r>
        <w:r w:rsidRPr="00B60C4E">
          <w:rPr>
            <w:sz w:val="20"/>
            <w:szCs w:val="20"/>
          </w:rPr>
          <w:t>формировани</w:t>
        </w:r>
        <w:r w:rsidR="00DD59D4" w:rsidRPr="00B60C4E">
          <w:rPr>
            <w:sz w:val="20"/>
            <w:szCs w:val="20"/>
          </w:rPr>
          <w:t>е</w:t>
        </w:r>
        <w:r w:rsidRPr="00B60C4E">
          <w:rPr>
            <w:sz w:val="20"/>
            <w:szCs w:val="20"/>
          </w:rPr>
          <w:t xml:space="preserve"> задания на оценку</w:t>
        </w:r>
        <w:r w:rsidR="00DD59D4" w:rsidRPr="00B60C4E">
          <w:rPr>
            <w:sz w:val="20"/>
            <w:szCs w:val="20"/>
          </w:rPr>
          <w:t xml:space="preserve"> по ФСО 2022</w:t>
        </w:r>
        <w:r w:rsidR="00B60C4E">
          <w:rPr>
            <w:sz w:val="20"/>
            <w:szCs w:val="20"/>
          </w:rPr>
          <w:tab/>
        </w:r>
        <w:r w:rsidRPr="00B60C4E">
          <w:rPr>
            <w:sz w:val="20"/>
            <w:szCs w:val="20"/>
          </w:rPr>
          <w:tab/>
        </w:r>
        <w:r w:rsidRPr="00B60C4E">
          <w:rPr>
            <w:sz w:val="20"/>
            <w:szCs w:val="20"/>
          </w:rPr>
          <w:tab/>
        </w:r>
        <w:r w:rsidR="00B60C4E" w:rsidRPr="00B60C4E">
          <w:rPr>
            <w:sz w:val="20"/>
            <w:szCs w:val="20"/>
          </w:rPr>
          <w:tab/>
        </w:r>
        <w:r w:rsidRPr="00B60C4E">
          <w:rPr>
            <w:sz w:val="20"/>
            <w:szCs w:val="20"/>
          </w:rPr>
          <w:tab/>
        </w:r>
        <w:r w:rsidRPr="00B60C4E">
          <w:rPr>
            <w:sz w:val="20"/>
            <w:szCs w:val="20"/>
          </w:rPr>
          <w:tab/>
        </w:r>
        <w:r w:rsidRPr="00B60C4E">
          <w:rPr>
            <w:sz w:val="20"/>
            <w:szCs w:val="20"/>
          </w:rPr>
          <w:fldChar w:fldCharType="begin"/>
        </w:r>
        <w:r w:rsidRPr="00B60C4E">
          <w:rPr>
            <w:sz w:val="20"/>
            <w:szCs w:val="20"/>
          </w:rPr>
          <w:instrText>PAGE   \* MERGEFORMAT</w:instrText>
        </w:r>
        <w:r w:rsidRPr="00B60C4E">
          <w:rPr>
            <w:sz w:val="20"/>
            <w:szCs w:val="20"/>
          </w:rPr>
          <w:fldChar w:fldCharType="separate"/>
        </w:r>
        <w:r w:rsidRPr="00B60C4E">
          <w:rPr>
            <w:sz w:val="20"/>
            <w:szCs w:val="20"/>
          </w:rPr>
          <w:t>2</w:t>
        </w:r>
        <w:r w:rsidRPr="00B60C4E">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DEEDA" w14:textId="77777777" w:rsidR="006A1F74" w:rsidRDefault="006A1F74" w:rsidP="0054477B">
      <w:pPr>
        <w:spacing w:after="0" w:line="240" w:lineRule="auto"/>
      </w:pPr>
      <w:r>
        <w:separator/>
      </w:r>
    </w:p>
  </w:footnote>
  <w:footnote w:type="continuationSeparator" w:id="0">
    <w:p w14:paraId="2858DFBF" w14:textId="77777777" w:rsidR="006A1F74" w:rsidRDefault="006A1F74" w:rsidP="0054477B">
      <w:pPr>
        <w:spacing w:after="0" w:line="240" w:lineRule="auto"/>
      </w:pPr>
      <w:r>
        <w:continuationSeparator/>
      </w:r>
    </w:p>
  </w:footnote>
  <w:footnote w:id="1">
    <w:p w14:paraId="65C3D9EB" w14:textId="77777777" w:rsidR="003D73AA" w:rsidRDefault="003D73AA" w:rsidP="003D73AA">
      <w:pPr>
        <w:pStyle w:val="a4"/>
      </w:pPr>
      <w:r>
        <w:rPr>
          <w:rStyle w:val="a6"/>
        </w:rPr>
        <w:footnoteRef/>
      </w:r>
      <w:r>
        <w:t xml:space="preserve"> В том числе обязательные при условии.</w:t>
      </w:r>
    </w:p>
  </w:footnote>
  <w:footnote w:id="2">
    <w:p w14:paraId="258BF3B3" w14:textId="77777777" w:rsidR="003D73AA" w:rsidRDefault="003D73AA" w:rsidP="003D73AA">
      <w:pPr>
        <w:pStyle w:val="a4"/>
      </w:pPr>
      <w:r>
        <w:rPr>
          <w:rStyle w:val="a6"/>
        </w:rPr>
        <w:footnoteRef/>
      </w:r>
      <w:r>
        <w:t xml:space="preserve"> Обратить внимание: в варианте 1 описывать предпосылки не нужно, поскольку они «стандартные» для рыночной стоимости. Для второго варианта – нужно.</w:t>
      </w:r>
    </w:p>
  </w:footnote>
  <w:footnote w:id="3">
    <w:p w14:paraId="0510E004" w14:textId="77777777" w:rsidR="003D73AA" w:rsidRPr="0038238D" w:rsidRDefault="003D73AA" w:rsidP="003D73AA">
      <w:pPr>
        <w:pStyle w:val="1"/>
        <w:shd w:val="clear" w:color="auto" w:fill="FFFFFF"/>
        <w:spacing w:before="0" w:beforeAutospacing="0" w:after="0" w:afterAutospacing="0"/>
        <w:jc w:val="both"/>
        <w:rPr>
          <w:sz w:val="22"/>
          <w:szCs w:val="22"/>
        </w:rPr>
      </w:pPr>
      <w:r w:rsidRPr="003637DC">
        <w:rPr>
          <w:rStyle w:val="a6"/>
          <w:rFonts w:asciiTheme="minorHAnsi" w:hAnsiTheme="minorHAnsi" w:cstheme="minorHAnsi"/>
          <w:b w:val="0"/>
          <w:bCs w:val="0"/>
          <w:sz w:val="20"/>
          <w:szCs w:val="20"/>
        </w:rPr>
        <w:footnoteRef/>
      </w:r>
      <w:r w:rsidRPr="003637DC">
        <w:rPr>
          <w:rFonts w:asciiTheme="minorHAnsi" w:hAnsiTheme="minorHAnsi" w:cstheme="minorHAnsi"/>
          <w:b w:val="0"/>
          <w:bCs w:val="0"/>
          <w:sz w:val="20"/>
          <w:szCs w:val="20"/>
        </w:rPr>
        <w:t xml:space="preserve"> </w:t>
      </w:r>
      <w:r w:rsidRPr="003637DC">
        <w:rPr>
          <w:rFonts w:asciiTheme="minorHAnsi" w:eastAsiaTheme="minorHAnsi" w:hAnsiTheme="minorHAnsi" w:cstheme="minorHAnsi"/>
          <w:b w:val="0"/>
          <w:bCs w:val="0"/>
          <w:color w:val="000000"/>
          <w:kern w:val="0"/>
          <w:sz w:val="20"/>
          <w:szCs w:val="20"/>
          <w:shd w:val="clear" w:color="auto" w:fill="FFFFFF"/>
          <w:lang w:eastAsia="en-US"/>
        </w:rPr>
        <w:t xml:space="preserve">В приложении 40 к Приказу Минфина России от 28.12.2015 N 217н «О введении Международных стандартов финансовой отчетности и Разъяснений </w:t>
      </w:r>
      <w:r>
        <w:rPr>
          <w:rFonts w:asciiTheme="minorHAnsi" w:eastAsiaTheme="minorHAnsi" w:hAnsiTheme="minorHAnsi" w:cstheme="minorHAnsi"/>
          <w:b w:val="0"/>
          <w:bCs w:val="0"/>
          <w:color w:val="000000"/>
          <w:kern w:val="0"/>
          <w:sz w:val="20"/>
          <w:szCs w:val="20"/>
          <w:shd w:val="clear" w:color="auto" w:fill="FFFFFF"/>
          <w:lang w:eastAsia="en-US"/>
        </w:rPr>
        <w:t>…</w:t>
      </w:r>
      <w:r w:rsidRPr="003637DC">
        <w:rPr>
          <w:rFonts w:asciiTheme="minorHAnsi" w:eastAsiaTheme="minorHAnsi" w:hAnsiTheme="minorHAnsi" w:cstheme="minorBidi"/>
          <w:b w:val="0"/>
          <w:bCs w:val="0"/>
          <w:color w:val="000000"/>
          <w:kern w:val="0"/>
          <w:sz w:val="20"/>
          <w:szCs w:val="20"/>
          <w:shd w:val="clear" w:color="auto" w:fill="FFFFFF"/>
          <w:lang w:eastAsia="en-US"/>
        </w:rPr>
        <w:t>» установлено, что «Настоящий стандарт определяет понятие «справедливая стоимость» как цену, которая была бы получена при продаже актива или уплачена при передаче обязательства в ходе обычной сделки между участниками рынка на дату оценки».</w:t>
      </w:r>
    </w:p>
  </w:footnote>
  <w:footnote w:id="4">
    <w:p w14:paraId="736E9F97" w14:textId="77777777" w:rsidR="003D73AA" w:rsidRDefault="003D73AA" w:rsidP="003D73AA">
      <w:pPr>
        <w:pStyle w:val="a4"/>
        <w:jc w:val="both"/>
      </w:pPr>
      <w:r w:rsidRPr="004816D4">
        <w:rPr>
          <w:rStyle w:val="a6"/>
          <w:highlight w:val="green"/>
        </w:rPr>
        <w:footnoteRef/>
      </w:r>
      <w:r w:rsidRPr="004816D4">
        <w:rPr>
          <w:highlight w:val="green"/>
        </w:rPr>
        <w:t xml:space="preserve"> Статьей 3 Федерального закона «Об оценочной деятельности в Российской Федерации» от 29.07.1998 №135-ФЗ установлено: «под ликвидационной стоимостью понимается расчетная величина, отражающая наиболее вероятную цену, по которой данный объект оценки может быть отчужден за срок экспозиции объекта оценки, меньший типичного срока экспозиции объекта оценки для рыночных условий, в условиях, когда продавец вынужден совершить сделку по отчуждению имущества».</w:t>
      </w:r>
    </w:p>
  </w:footnote>
  <w:footnote w:id="5">
    <w:p w14:paraId="75ED4F26" w14:textId="77777777" w:rsidR="003D73AA" w:rsidRPr="00BA369B" w:rsidRDefault="003D73AA" w:rsidP="003D73AA">
      <w:pPr>
        <w:pStyle w:val="a4"/>
        <w:jc w:val="both"/>
      </w:pPr>
      <w:r w:rsidRPr="00BA369B">
        <w:rPr>
          <w:rStyle w:val="a6"/>
          <w:highlight w:val="green"/>
        </w:rPr>
        <w:footnoteRef/>
      </w:r>
      <w:r w:rsidRPr="00BA369B">
        <w:rPr>
          <w:highlight w:val="green"/>
        </w:rPr>
        <w:t xml:space="preserve"> Пунктом 21 ФСО </w:t>
      </w:r>
      <w:r w:rsidRPr="00BA369B">
        <w:rPr>
          <w:highlight w:val="green"/>
          <w:lang w:val="en-US"/>
        </w:rPr>
        <w:t>II</w:t>
      </w:r>
      <w:r w:rsidRPr="00BA369B">
        <w:rPr>
          <w:highlight w:val="green"/>
        </w:rPr>
        <w:t xml:space="preserve"> установлено: «Предпосылки о способах использования, отличных от наиболее эффективного, о вынужденной продаже должны быть указаны в задании на оценку и Отчете и соответствовать цели оценки».</w:t>
      </w:r>
    </w:p>
  </w:footnote>
  <w:footnote w:id="6">
    <w:p w14:paraId="2C026934" w14:textId="77777777" w:rsidR="003D73AA" w:rsidRDefault="003D73AA" w:rsidP="003D73AA">
      <w:pPr>
        <w:pStyle w:val="a4"/>
      </w:pPr>
      <w:r>
        <w:rPr>
          <w:rStyle w:val="a6"/>
        </w:rPr>
        <w:footnoteRef/>
      </w:r>
      <w:r>
        <w:t xml:space="preserve"> То есть, когда это «не совсем рыночная стоимость» или стоимость, вид которой не указан в ФСО.</w:t>
      </w:r>
    </w:p>
  </w:footnote>
  <w:footnote w:id="7">
    <w:p w14:paraId="738AC83A" w14:textId="77777777" w:rsidR="003D73AA" w:rsidRDefault="003D73AA" w:rsidP="003D73AA">
      <w:pPr>
        <w:pStyle w:val="a4"/>
      </w:pPr>
      <w:r>
        <w:rPr>
          <w:rStyle w:val="a6"/>
        </w:rPr>
        <w:footnoteRef/>
      </w:r>
      <w:r>
        <w:t xml:space="preserve"> Дополнительно см. п. 5 ФСО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E7FC7"/>
    <w:multiLevelType w:val="hybridMultilevel"/>
    <w:tmpl w:val="A2B6C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153025E"/>
    <w:multiLevelType w:val="hybridMultilevel"/>
    <w:tmpl w:val="15327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ED4FBE"/>
    <w:multiLevelType w:val="hybridMultilevel"/>
    <w:tmpl w:val="D5967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3715F13"/>
    <w:multiLevelType w:val="hybridMultilevel"/>
    <w:tmpl w:val="06A8C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DE18BE"/>
    <w:multiLevelType w:val="hybridMultilevel"/>
    <w:tmpl w:val="B9EC3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2E951F2"/>
    <w:multiLevelType w:val="multilevel"/>
    <w:tmpl w:val="0D3C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9F023A"/>
    <w:multiLevelType w:val="hybridMultilevel"/>
    <w:tmpl w:val="15327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E27E31"/>
    <w:multiLevelType w:val="hybridMultilevel"/>
    <w:tmpl w:val="C4C432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16541A"/>
    <w:multiLevelType w:val="hybridMultilevel"/>
    <w:tmpl w:val="15327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37660750">
    <w:abstractNumId w:val="3"/>
  </w:num>
  <w:num w:numId="2" w16cid:durableId="388773529">
    <w:abstractNumId w:val="2"/>
  </w:num>
  <w:num w:numId="3" w16cid:durableId="411902356">
    <w:abstractNumId w:val="1"/>
  </w:num>
  <w:num w:numId="4" w16cid:durableId="1017780216">
    <w:abstractNumId w:val="7"/>
  </w:num>
  <w:num w:numId="5" w16cid:durableId="286395912">
    <w:abstractNumId w:val="8"/>
  </w:num>
  <w:num w:numId="6" w16cid:durableId="595946108">
    <w:abstractNumId w:val="5"/>
  </w:num>
  <w:num w:numId="7" w16cid:durableId="1155606223">
    <w:abstractNumId w:val="0"/>
  </w:num>
  <w:num w:numId="8" w16cid:durableId="984041620">
    <w:abstractNumId w:val="4"/>
  </w:num>
  <w:num w:numId="9" w16cid:durableId="12909375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77B"/>
    <w:rsid w:val="00076829"/>
    <w:rsid w:val="000974A1"/>
    <w:rsid w:val="00131EDD"/>
    <w:rsid w:val="001830F1"/>
    <w:rsid w:val="00224E0B"/>
    <w:rsid w:val="00234E06"/>
    <w:rsid w:val="003637DC"/>
    <w:rsid w:val="0038238D"/>
    <w:rsid w:val="003D0687"/>
    <w:rsid w:val="003D73AA"/>
    <w:rsid w:val="00484B7D"/>
    <w:rsid w:val="00526C5D"/>
    <w:rsid w:val="0054477B"/>
    <w:rsid w:val="00545706"/>
    <w:rsid w:val="00555212"/>
    <w:rsid w:val="00624E10"/>
    <w:rsid w:val="006711B7"/>
    <w:rsid w:val="006A1F74"/>
    <w:rsid w:val="00742CEB"/>
    <w:rsid w:val="00767BB0"/>
    <w:rsid w:val="007D2783"/>
    <w:rsid w:val="007E75F5"/>
    <w:rsid w:val="00834FD3"/>
    <w:rsid w:val="0088225C"/>
    <w:rsid w:val="009D348D"/>
    <w:rsid w:val="00A0199E"/>
    <w:rsid w:val="00A33EC1"/>
    <w:rsid w:val="00AE0713"/>
    <w:rsid w:val="00B25CE7"/>
    <w:rsid w:val="00B36EEB"/>
    <w:rsid w:val="00B60C4E"/>
    <w:rsid w:val="00BA4ADE"/>
    <w:rsid w:val="00BC24A8"/>
    <w:rsid w:val="00BF16AD"/>
    <w:rsid w:val="00C11CD2"/>
    <w:rsid w:val="00C411E6"/>
    <w:rsid w:val="00D1453D"/>
    <w:rsid w:val="00D8350E"/>
    <w:rsid w:val="00D90502"/>
    <w:rsid w:val="00DD59D4"/>
    <w:rsid w:val="00E36D71"/>
    <w:rsid w:val="00EA1FF8"/>
    <w:rsid w:val="00F06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731DF"/>
  <w15:chartTrackingRefBased/>
  <w15:docId w15:val="{5D2C2786-AC7E-428A-833E-6EDBFA5A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823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4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54477B"/>
    <w:pPr>
      <w:spacing w:after="0" w:line="240" w:lineRule="auto"/>
    </w:pPr>
    <w:rPr>
      <w:sz w:val="20"/>
      <w:szCs w:val="20"/>
    </w:rPr>
  </w:style>
  <w:style w:type="character" w:customStyle="1" w:styleId="a5">
    <w:name w:val="Текст сноски Знак"/>
    <w:basedOn w:val="a0"/>
    <w:link w:val="a4"/>
    <w:uiPriority w:val="99"/>
    <w:semiHidden/>
    <w:rsid w:val="0054477B"/>
    <w:rPr>
      <w:sz w:val="20"/>
      <w:szCs w:val="20"/>
    </w:rPr>
  </w:style>
  <w:style w:type="character" w:styleId="a6">
    <w:name w:val="footnote reference"/>
    <w:basedOn w:val="a0"/>
    <w:uiPriority w:val="99"/>
    <w:semiHidden/>
    <w:unhideWhenUsed/>
    <w:rsid w:val="0054477B"/>
    <w:rPr>
      <w:vertAlign w:val="superscript"/>
    </w:rPr>
  </w:style>
  <w:style w:type="paragraph" w:styleId="a7">
    <w:name w:val="List Paragraph"/>
    <w:basedOn w:val="a"/>
    <w:uiPriority w:val="34"/>
    <w:qFormat/>
    <w:rsid w:val="0054477B"/>
    <w:pPr>
      <w:ind w:left="720"/>
      <w:contextualSpacing/>
    </w:pPr>
  </w:style>
  <w:style w:type="paragraph" w:styleId="a8">
    <w:name w:val="header"/>
    <w:basedOn w:val="a"/>
    <w:link w:val="a9"/>
    <w:uiPriority w:val="99"/>
    <w:unhideWhenUsed/>
    <w:rsid w:val="009D348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348D"/>
  </w:style>
  <w:style w:type="paragraph" w:styleId="aa">
    <w:name w:val="footer"/>
    <w:basedOn w:val="a"/>
    <w:link w:val="ab"/>
    <w:uiPriority w:val="99"/>
    <w:unhideWhenUsed/>
    <w:rsid w:val="009D348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348D"/>
  </w:style>
  <w:style w:type="character" w:styleId="ac">
    <w:name w:val="Hyperlink"/>
    <w:basedOn w:val="a0"/>
    <w:uiPriority w:val="99"/>
    <w:semiHidden/>
    <w:unhideWhenUsed/>
    <w:rsid w:val="00545706"/>
    <w:rPr>
      <w:color w:val="0000FF"/>
      <w:u w:val="single"/>
    </w:rPr>
  </w:style>
  <w:style w:type="character" w:styleId="ad">
    <w:name w:val="annotation reference"/>
    <w:basedOn w:val="a0"/>
    <w:uiPriority w:val="99"/>
    <w:semiHidden/>
    <w:unhideWhenUsed/>
    <w:rsid w:val="003D0687"/>
    <w:rPr>
      <w:sz w:val="16"/>
      <w:szCs w:val="16"/>
    </w:rPr>
  </w:style>
  <w:style w:type="paragraph" w:styleId="ae">
    <w:name w:val="annotation text"/>
    <w:basedOn w:val="a"/>
    <w:link w:val="af"/>
    <w:uiPriority w:val="99"/>
    <w:semiHidden/>
    <w:unhideWhenUsed/>
    <w:rsid w:val="003D0687"/>
    <w:pPr>
      <w:spacing w:line="240" w:lineRule="auto"/>
    </w:pPr>
    <w:rPr>
      <w:sz w:val="20"/>
      <w:szCs w:val="20"/>
    </w:rPr>
  </w:style>
  <w:style w:type="character" w:customStyle="1" w:styleId="af">
    <w:name w:val="Текст примечания Знак"/>
    <w:basedOn w:val="a0"/>
    <w:link w:val="ae"/>
    <w:uiPriority w:val="99"/>
    <w:semiHidden/>
    <w:rsid w:val="003D0687"/>
    <w:rPr>
      <w:sz w:val="20"/>
      <w:szCs w:val="20"/>
    </w:rPr>
  </w:style>
  <w:style w:type="paragraph" w:styleId="af0">
    <w:name w:val="annotation subject"/>
    <w:basedOn w:val="ae"/>
    <w:next w:val="ae"/>
    <w:link w:val="af1"/>
    <w:uiPriority w:val="99"/>
    <w:semiHidden/>
    <w:unhideWhenUsed/>
    <w:rsid w:val="003D0687"/>
    <w:rPr>
      <w:b/>
      <w:bCs/>
    </w:rPr>
  </w:style>
  <w:style w:type="character" w:customStyle="1" w:styleId="af1">
    <w:name w:val="Тема примечания Знак"/>
    <w:basedOn w:val="af"/>
    <w:link w:val="af0"/>
    <w:uiPriority w:val="99"/>
    <w:semiHidden/>
    <w:rsid w:val="003D0687"/>
    <w:rPr>
      <w:b/>
      <w:bCs/>
      <w:sz w:val="20"/>
      <w:szCs w:val="20"/>
    </w:rPr>
  </w:style>
  <w:style w:type="paragraph" w:styleId="af2">
    <w:name w:val="Revision"/>
    <w:hidden/>
    <w:uiPriority w:val="99"/>
    <w:semiHidden/>
    <w:rsid w:val="00484B7D"/>
    <w:pPr>
      <w:spacing w:after="0" w:line="240" w:lineRule="auto"/>
    </w:pPr>
  </w:style>
  <w:style w:type="character" w:customStyle="1" w:styleId="10">
    <w:name w:val="Заголовок 1 Знак"/>
    <w:basedOn w:val="a0"/>
    <w:link w:val="1"/>
    <w:uiPriority w:val="9"/>
    <w:rsid w:val="0038238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213435">
      <w:bodyDiv w:val="1"/>
      <w:marLeft w:val="0"/>
      <w:marRight w:val="0"/>
      <w:marTop w:val="0"/>
      <w:marBottom w:val="0"/>
      <w:divBdr>
        <w:top w:val="none" w:sz="0" w:space="0" w:color="auto"/>
        <w:left w:val="none" w:sz="0" w:space="0" w:color="auto"/>
        <w:bottom w:val="none" w:sz="0" w:space="0" w:color="auto"/>
        <w:right w:val="none" w:sz="0" w:space="0" w:color="auto"/>
      </w:divBdr>
    </w:div>
    <w:div w:id="146712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AD012-BC9C-4E85-8D68-4CE147D5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1986</Words>
  <Characters>11323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Murat Kurbanov</cp:lastModifiedBy>
  <cp:revision>4</cp:revision>
  <dcterms:created xsi:type="dcterms:W3CDTF">2022-10-25T10:49:00Z</dcterms:created>
  <dcterms:modified xsi:type="dcterms:W3CDTF">2022-10-25T10:51:00Z</dcterms:modified>
</cp:coreProperties>
</file>