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5220"/>
      </w:tblGrid>
      <w:tr w:rsidR="00061CA9" w14:paraId="3A2C2EE8" w14:textId="77777777" w:rsidTr="00C91AEA">
        <w:trPr>
          <w:trHeight w:val="1230"/>
        </w:trPr>
        <w:tc>
          <w:tcPr>
            <w:tcW w:w="4386" w:type="dxa"/>
            <w:vAlign w:val="center"/>
          </w:tcPr>
          <w:p w14:paraId="122CAE59" w14:textId="6FC582B3" w:rsidR="00061CA9" w:rsidRPr="001A644B" w:rsidRDefault="00E0622C" w:rsidP="0011252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ascii="Book Antiqua" w:hAnsi="Book Antiqua" w:cs="Book Antiqua"/>
                <w:b/>
                <w:bCs/>
                <w:noProof/>
                <w:color w:val="943634"/>
                <w:sz w:val="44"/>
                <w:szCs w:val="44"/>
                <w:lang w:eastAsia="ru-RU"/>
              </w:rPr>
              <w:drawing>
                <wp:inline distT="0" distB="0" distL="0" distR="0" wp14:anchorId="53590EFE" wp14:editId="1AA10968">
                  <wp:extent cx="2646012" cy="776378"/>
                  <wp:effectExtent l="0" t="0" r="2540" b="5080"/>
                  <wp:docPr id="2" name="Рисунок 2" descr="C:\Users\Ильин МО\Desktop\Картинки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льин МО\Desktop\Картинки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845" cy="77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vAlign w:val="center"/>
          </w:tcPr>
          <w:p w14:paraId="6595AD74" w14:textId="7200ACC8" w:rsidR="00061CA9" w:rsidRDefault="00162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Book Antiqua" w:hAnsi="Book Antiqua" w:cs="Vrinda"/>
                <w:b/>
                <w:bCs/>
                <w:noProof/>
                <w:color w:val="002F8E"/>
                <w:sz w:val="30"/>
                <w:szCs w:val="30"/>
                <w:lang w:eastAsia="ru-RU"/>
              </w:rPr>
              <w:drawing>
                <wp:inline distT="0" distB="0" distL="0" distR="0" wp14:anchorId="49806C0B" wp14:editId="6ACFA80A">
                  <wp:extent cx="1230424" cy="1065474"/>
                  <wp:effectExtent l="0" t="0" r="825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373"/>
                          <a:stretch/>
                        </pic:blipFill>
                        <pic:spPr bwMode="auto">
                          <a:xfrm>
                            <a:off x="0" y="0"/>
                            <a:ext cx="1231704" cy="106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52E" w14:paraId="7F57914A" w14:textId="77777777" w:rsidTr="00C91AEA">
        <w:trPr>
          <w:trHeight w:val="705"/>
        </w:trPr>
        <w:tc>
          <w:tcPr>
            <w:tcW w:w="4386" w:type="dxa"/>
          </w:tcPr>
          <w:p w14:paraId="7208D96F" w14:textId="77777777" w:rsidR="0011252E" w:rsidRDefault="0011252E">
            <w:pPr>
              <w:jc w:val="center"/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</w:pP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Ассоциация</w:t>
            </w:r>
          </w:p>
          <w:p w14:paraId="576B753E" w14:textId="588A6E76" w:rsidR="0011252E" w:rsidRDefault="0011252E">
            <w:pPr>
              <w:jc w:val="center"/>
              <w:rPr>
                <w:rFonts w:ascii="Book Antiqua" w:hAnsi="Book Antiqua" w:cs="Book Antiqua"/>
                <w:b/>
                <w:bCs/>
                <w:noProof/>
                <w:color w:val="943634"/>
                <w:sz w:val="44"/>
                <w:szCs w:val="44"/>
                <w:lang w:eastAsia="ru-RU"/>
              </w:rPr>
            </w:pP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«</w:t>
            </w: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 xml:space="preserve">СРОО </w:t>
            </w: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«Экспертный совет»</w:t>
            </w:r>
          </w:p>
        </w:tc>
        <w:tc>
          <w:tcPr>
            <w:tcW w:w="5220" w:type="dxa"/>
          </w:tcPr>
          <w:p w14:paraId="507DA609" w14:textId="7FE3774E" w:rsidR="0011252E" w:rsidRDefault="0011252E">
            <w:pPr>
              <w:jc w:val="center"/>
              <w:rPr>
                <w:rFonts w:ascii="Book Antiqua" w:hAnsi="Book Antiqua" w:cs="Vrinda"/>
                <w:b/>
                <w:bCs/>
                <w:noProof/>
                <w:color w:val="002F8E"/>
                <w:sz w:val="30"/>
                <w:szCs w:val="30"/>
                <w:lang w:eastAsia="ru-RU"/>
              </w:rPr>
            </w:pPr>
            <w:r w:rsidRPr="00925FFA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Союз судебных экспертов «Экспертный совет»</w:t>
            </w:r>
          </w:p>
        </w:tc>
      </w:tr>
    </w:tbl>
    <w:p w14:paraId="24B6E277" w14:textId="57A6E0C4" w:rsidR="004D5842" w:rsidRPr="004D5842" w:rsidRDefault="004D5842" w:rsidP="004D5842">
      <w:pPr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r w:rsidRPr="004D5842">
        <w:rPr>
          <w:rFonts w:cs="Times New Roman"/>
          <w:b/>
          <w:sz w:val="24"/>
          <w:szCs w:val="24"/>
          <w:lang w:eastAsia="ru-RU"/>
        </w:rPr>
        <w:t>от 12.08.2019 г.</w:t>
      </w:r>
    </w:p>
    <w:p w14:paraId="716ED9E3" w14:textId="2C7FC353" w:rsidR="00061CA9" w:rsidRDefault="00061CA9">
      <w:pPr>
        <w:jc w:val="right"/>
        <w:rPr>
          <w:sz w:val="24"/>
          <w:szCs w:val="24"/>
          <w:highlight w:val="yellow"/>
        </w:rPr>
      </w:pPr>
      <w:bookmarkStart w:id="0" w:name="_GoBack"/>
      <w:bookmarkEnd w:id="0"/>
    </w:p>
    <w:tbl>
      <w:tblPr>
        <w:tblStyle w:val="a5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73"/>
      </w:tblGrid>
      <w:tr w:rsidR="00687398" w:rsidRPr="00687398" w14:paraId="00520FB1" w14:textId="77777777" w:rsidTr="00687398">
        <w:tc>
          <w:tcPr>
            <w:tcW w:w="5103" w:type="dxa"/>
          </w:tcPr>
          <w:p w14:paraId="2CC944E1" w14:textId="77777777" w:rsidR="00687398" w:rsidRPr="00687398" w:rsidRDefault="00687398" w:rsidP="004D584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687398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«УТВЕРЖДАЮ» </w:t>
            </w:r>
          </w:p>
          <w:p w14:paraId="5EF6D128" w14:textId="77777777" w:rsidR="00687398" w:rsidRPr="00687398" w:rsidRDefault="00687398" w:rsidP="004D584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687398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Председатель Экспертного совета </w:t>
            </w:r>
          </w:p>
          <w:p w14:paraId="3DC2CBBD" w14:textId="77777777" w:rsidR="00687398" w:rsidRPr="00687398" w:rsidRDefault="00687398" w:rsidP="004D584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19797568" w14:textId="77777777" w:rsidR="004D5842" w:rsidRDefault="004D5842" w:rsidP="004D584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750EF430" w14:textId="6D0CA742" w:rsidR="00687398" w:rsidRPr="00687398" w:rsidRDefault="00687398" w:rsidP="004D584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687398">
              <w:rPr>
                <w:rFonts w:cs="Times New Roman"/>
                <w:bCs/>
                <w:sz w:val="24"/>
                <w:szCs w:val="24"/>
                <w:lang w:eastAsia="ru-RU"/>
              </w:rPr>
              <w:t>_____________________ /В.И. Лебединский/</w:t>
            </w:r>
          </w:p>
          <w:p w14:paraId="6ED0EFD7" w14:textId="77777777" w:rsidR="00687398" w:rsidRPr="00687398" w:rsidRDefault="00687398" w:rsidP="004D584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4509D4B3" w14:textId="59BAD02B" w:rsidR="00687398" w:rsidRPr="00687398" w:rsidRDefault="00687398" w:rsidP="004D584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</w:tcPr>
          <w:p w14:paraId="0208F026" w14:textId="77777777" w:rsidR="00687398" w:rsidRPr="00687398" w:rsidRDefault="00687398" w:rsidP="004D5842">
            <w:pPr>
              <w:pStyle w:val="a3"/>
              <w:spacing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687398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«УТВЕРЖДАЮ» </w:t>
            </w:r>
          </w:p>
          <w:p w14:paraId="702663BD" w14:textId="77777777" w:rsidR="00687398" w:rsidRPr="00687398" w:rsidRDefault="00687398" w:rsidP="004D584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687398">
              <w:rPr>
                <w:rFonts w:cs="Times New Roman"/>
                <w:bCs/>
                <w:sz w:val="24"/>
                <w:szCs w:val="24"/>
                <w:lang w:eastAsia="ru-RU"/>
              </w:rPr>
              <w:t>Исполнительный директор</w:t>
            </w:r>
          </w:p>
          <w:p w14:paraId="0BCD4033" w14:textId="77777777" w:rsidR="00687398" w:rsidRPr="00687398" w:rsidRDefault="00687398" w:rsidP="004D584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45D1DB15" w14:textId="77777777" w:rsidR="00687398" w:rsidRDefault="00687398" w:rsidP="004D584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336066E5" w14:textId="211BE2A0" w:rsidR="00687398" w:rsidRPr="00687398" w:rsidRDefault="00687398" w:rsidP="004D5842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687398">
              <w:rPr>
                <w:rFonts w:cs="Times New Roman"/>
                <w:bCs/>
                <w:sz w:val="24"/>
                <w:szCs w:val="24"/>
                <w:lang w:eastAsia="ru-RU"/>
              </w:rPr>
              <w:t>______________________ /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М.О. Ильин</w:t>
            </w:r>
            <w:r w:rsidRPr="00687398">
              <w:rPr>
                <w:rFonts w:cs="Times New Roman"/>
                <w:bCs/>
                <w:sz w:val="24"/>
                <w:szCs w:val="24"/>
                <w:lang w:eastAsia="ru-RU"/>
              </w:rPr>
              <w:t>/</w:t>
            </w:r>
          </w:p>
          <w:p w14:paraId="2531BDFB" w14:textId="761966A8" w:rsidR="00687398" w:rsidRPr="00687398" w:rsidRDefault="00687398" w:rsidP="004D5842">
            <w:pPr>
              <w:pStyle w:val="a3"/>
              <w:spacing w:line="240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</w:tbl>
    <w:p w14:paraId="2DD175F4" w14:textId="77777777" w:rsidR="004D5842" w:rsidRDefault="004D5842" w:rsidP="00076FC8">
      <w:pPr>
        <w:spacing w:after="0" w:line="240" w:lineRule="auto"/>
        <w:jc w:val="center"/>
        <w:rPr>
          <w:b/>
          <w:sz w:val="40"/>
          <w:szCs w:val="40"/>
        </w:rPr>
      </w:pPr>
    </w:p>
    <w:p w14:paraId="75510816" w14:textId="21D97104" w:rsidR="00441D0B" w:rsidRPr="006B01C8" w:rsidRDefault="00091BCB" w:rsidP="00076FC8">
      <w:pPr>
        <w:spacing w:after="0" w:line="240" w:lineRule="auto"/>
        <w:jc w:val="center"/>
        <w:rPr>
          <w:b/>
          <w:sz w:val="40"/>
          <w:szCs w:val="40"/>
        </w:rPr>
      </w:pPr>
      <w:r w:rsidRPr="006B01C8">
        <w:rPr>
          <w:b/>
          <w:sz w:val="40"/>
          <w:szCs w:val="40"/>
        </w:rPr>
        <w:t xml:space="preserve">МЕТОДИЧЕСКИЕ </w:t>
      </w:r>
      <w:r w:rsidR="002D244B" w:rsidRPr="006B01C8">
        <w:rPr>
          <w:b/>
          <w:sz w:val="40"/>
          <w:szCs w:val="40"/>
        </w:rPr>
        <w:t>РАЗ</w:t>
      </w:r>
      <w:r w:rsidR="0033242A" w:rsidRPr="006B01C8">
        <w:rPr>
          <w:b/>
          <w:sz w:val="40"/>
          <w:szCs w:val="40"/>
        </w:rPr>
        <w:t>Ъ</w:t>
      </w:r>
      <w:r w:rsidR="002D244B" w:rsidRPr="006B01C8">
        <w:rPr>
          <w:b/>
          <w:sz w:val="40"/>
          <w:szCs w:val="40"/>
        </w:rPr>
        <w:t>ЯСНЕНИЯ</w:t>
      </w:r>
    </w:p>
    <w:p w14:paraId="516DD213" w14:textId="7D20F3E5" w:rsidR="00316FC6" w:rsidRDefault="00925FFA" w:rsidP="00316FC6">
      <w:pPr>
        <w:jc w:val="center"/>
        <w:rPr>
          <w:b/>
          <w:sz w:val="40"/>
          <w:szCs w:val="40"/>
        </w:rPr>
      </w:pPr>
      <w:r w:rsidRPr="006B01C8">
        <w:rPr>
          <w:b/>
          <w:sz w:val="40"/>
          <w:szCs w:val="40"/>
        </w:rPr>
        <w:t xml:space="preserve">по </w:t>
      </w:r>
      <w:r w:rsidR="001A644B" w:rsidRPr="006B01C8">
        <w:rPr>
          <w:b/>
          <w:sz w:val="40"/>
          <w:szCs w:val="40"/>
        </w:rPr>
        <w:t>выбор</w:t>
      </w:r>
      <w:r w:rsidRPr="006B01C8">
        <w:rPr>
          <w:b/>
          <w:sz w:val="40"/>
          <w:szCs w:val="40"/>
        </w:rPr>
        <w:t>у</w:t>
      </w:r>
      <w:r w:rsidR="00E0622C" w:rsidRPr="006B01C8">
        <w:rPr>
          <w:b/>
          <w:sz w:val="40"/>
          <w:szCs w:val="40"/>
        </w:rPr>
        <w:t xml:space="preserve"> судебных экспертов</w:t>
      </w:r>
      <w:r w:rsidR="00236ECB" w:rsidRPr="006B01C8">
        <w:rPr>
          <w:b/>
          <w:sz w:val="40"/>
          <w:szCs w:val="40"/>
        </w:rPr>
        <w:br/>
        <w:t>(организаций, учреждений)</w:t>
      </w:r>
    </w:p>
    <w:p w14:paraId="2A2BC2AA" w14:textId="1D341608" w:rsidR="00076FC8" w:rsidRPr="006B01C8" w:rsidRDefault="00076FC8" w:rsidP="00C91AEA">
      <w:pPr>
        <w:keepNext/>
        <w:keepLines/>
        <w:spacing w:before="360" w:after="0" w:line="276" w:lineRule="auto"/>
        <w:jc w:val="center"/>
        <w:outlineLvl w:val="0"/>
        <w:rPr>
          <w:rFonts w:eastAsia="Times New Roman" w:cstheme="majorBidi"/>
          <w:b/>
          <w:bCs/>
          <w:caps/>
          <w:sz w:val="28"/>
          <w:szCs w:val="28"/>
          <w:lang w:eastAsia="ru-RU"/>
        </w:rPr>
      </w:pPr>
      <w:r w:rsidRPr="006B01C8">
        <w:rPr>
          <w:rFonts w:eastAsia="Times New Roman" w:cstheme="majorBidi"/>
          <w:b/>
          <w:bCs/>
          <w:caps/>
          <w:sz w:val="28"/>
          <w:szCs w:val="28"/>
          <w:lang w:eastAsia="ru-RU"/>
        </w:rPr>
        <w:t>1. ОБЩИЕ ПОЛОЖЕНИЯ</w:t>
      </w:r>
    </w:p>
    <w:p w14:paraId="5D7EB3B2" w14:textId="36CE4BDB" w:rsidR="00110BB6" w:rsidRDefault="00657D8D" w:rsidP="00512FDE">
      <w:pPr>
        <w:spacing w:before="120" w:after="0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1" w:name="_Toc470602311"/>
      <w:r w:rsidRPr="006B01C8">
        <w:rPr>
          <w:rFonts w:ascii="Calibri" w:eastAsia="Times New Roman" w:hAnsi="Calibri" w:cs="Times New Roman"/>
          <w:b/>
          <w:sz w:val="24"/>
          <w:szCs w:val="24"/>
        </w:rPr>
        <w:t>1.1.</w:t>
      </w:r>
      <w:r w:rsidRPr="006B01C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10BB6" w:rsidRPr="006B01C8">
        <w:rPr>
          <w:rFonts w:ascii="Calibri" w:eastAsia="Times New Roman" w:hAnsi="Calibri" w:cs="Times New Roman"/>
          <w:sz w:val="24"/>
          <w:szCs w:val="24"/>
        </w:rPr>
        <w:t xml:space="preserve">Настоящие Методические разъяснения (далее - МР) </w:t>
      </w:r>
      <w:r w:rsidR="009D4D94">
        <w:rPr>
          <w:rFonts w:ascii="Calibri" w:eastAsia="Times New Roman" w:hAnsi="Calibri" w:cs="Times New Roman"/>
          <w:sz w:val="24"/>
          <w:szCs w:val="24"/>
        </w:rPr>
        <w:t>носят рекомендательный характер</w:t>
      </w:r>
      <w:r w:rsidR="00110BB6" w:rsidRPr="006B01C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1249A">
        <w:rPr>
          <w:rFonts w:ascii="Calibri" w:eastAsia="Times New Roman" w:hAnsi="Calibri" w:cs="Times New Roman"/>
          <w:sz w:val="24"/>
          <w:szCs w:val="24"/>
        </w:rPr>
        <w:t>при проведении</w:t>
      </w:r>
      <w:r w:rsidR="00110BB6" w:rsidRPr="006B01C8">
        <w:rPr>
          <w:rFonts w:ascii="Calibri" w:eastAsia="Times New Roman" w:hAnsi="Calibri" w:cs="Times New Roman"/>
          <w:sz w:val="24"/>
          <w:szCs w:val="24"/>
        </w:rPr>
        <w:t xml:space="preserve"> процедуры выбора/назначения, отвода судебных экспертов (организаций, учреждений) при назначении финансово-экономической, оценочной судебной экспертизы</w:t>
      </w:r>
      <w:r w:rsidR="009D4D94">
        <w:rPr>
          <w:rFonts w:ascii="Calibri" w:eastAsia="Times New Roman" w:hAnsi="Calibri" w:cs="Times New Roman"/>
          <w:sz w:val="24"/>
          <w:szCs w:val="24"/>
        </w:rPr>
        <w:t>, а также</w:t>
      </w:r>
      <w:r w:rsidR="009D4D94" w:rsidRPr="006B01C8">
        <w:rPr>
          <w:rFonts w:ascii="Calibri" w:eastAsia="Times New Roman" w:hAnsi="Calibri" w:cs="Times New Roman"/>
          <w:sz w:val="24"/>
          <w:szCs w:val="24"/>
        </w:rPr>
        <w:t xml:space="preserve"> могут быть использованы</w:t>
      </w:r>
      <w:r w:rsidR="009D4D94">
        <w:rPr>
          <w:rFonts w:ascii="Calibri" w:eastAsia="Times New Roman" w:hAnsi="Calibri" w:cs="Times New Roman"/>
          <w:sz w:val="24"/>
          <w:szCs w:val="24"/>
        </w:rPr>
        <w:t xml:space="preserve"> при выборе специалистов в рамках </w:t>
      </w:r>
      <w:r w:rsidR="00E96648">
        <w:rPr>
          <w:rFonts w:ascii="Calibri" w:eastAsia="Times New Roman" w:hAnsi="Calibri" w:cs="Times New Roman"/>
          <w:sz w:val="24"/>
          <w:szCs w:val="24"/>
        </w:rPr>
        <w:t xml:space="preserve">проведения </w:t>
      </w:r>
      <w:r w:rsidR="009D4D94">
        <w:rPr>
          <w:rFonts w:ascii="Calibri" w:eastAsia="Times New Roman" w:hAnsi="Calibri" w:cs="Times New Roman"/>
          <w:sz w:val="24"/>
          <w:szCs w:val="24"/>
        </w:rPr>
        <w:t>внесудебных экспертиз, в том числе при рецензировании</w:t>
      </w:r>
      <w:r w:rsidR="00E9664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472FA">
        <w:rPr>
          <w:rFonts w:ascii="Calibri" w:eastAsia="Times New Roman" w:hAnsi="Calibri" w:cs="Times New Roman"/>
          <w:sz w:val="24"/>
          <w:szCs w:val="24"/>
        </w:rPr>
        <w:t xml:space="preserve">заключений </w:t>
      </w:r>
      <w:r w:rsidR="00E96648">
        <w:rPr>
          <w:rFonts w:ascii="Calibri" w:eastAsia="Times New Roman" w:hAnsi="Calibri" w:cs="Times New Roman"/>
          <w:sz w:val="24"/>
          <w:szCs w:val="24"/>
        </w:rPr>
        <w:t>судебных эксперт</w:t>
      </w:r>
      <w:r w:rsidR="009472FA">
        <w:rPr>
          <w:rFonts w:ascii="Calibri" w:eastAsia="Times New Roman" w:hAnsi="Calibri" w:cs="Times New Roman"/>
          <w:sz w:val="24"/>
          <w:szCs w:val="24"/>
        </w:rPr>
        <w:t>ов</w:t>
      </w:r>
      <w:r w:rsidR="009D4D94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="000F59AC" w:rsidRPr="006B01C8">
        <w:rPr>
          <w:rFonts w:ascii="Calibri" w:eastAsia="Times New Roman" w:hAnsi="Calibri" w:cs="Times New Roman"/>
          <w:sz w:val="24"/>
          <w:szCs w:val="24"/>
        </w:rPr>
        <w:t>О</w:t>
      </w:r>
      <w:r w:rsidR="00110BB6" w:rsidRPr="006B01C8">
        <w:rPr>
          <w:rFonts w:ascii="Calibri" w:eastAsia="Times New Roman" w:hAnsi="Calibri" w:cs="Times New Roman"/>
          <w:sz w:val="24"/>
          <w:szCs w:val="24"/>
        </w:rPr>
        <w:t>тдельные положения настоящ</w:t>
      </w:r>
      <w:r w:rsidR="000F59AC" w:rsidRPr="006B01C8">
        <w:rPr>
          <w:rFonts w:ascii="Calibri" w:eastAsia="Times New Roman" w:hAnsi="Calibri" w:cs="Times New Roman"/>
          <w:sz w:val="24"/>
          <w:szCs w:val="24"/>
        </w:rPr>
        <w:t>их</w:t>
      </w:r>
      <w:r w:rsidR="00110BB6" w:rsidRPr="006B01C8">
        <w:rPr>
          <w:rFonts w:ascii="Calibri" w:eastAsia="Times New Roman" w:hAnsi="Calibri" w:cs="Times New Roman"/>
          <w:sz w:val="24"/>
          <w:szCs w:val="24"/>
        </w:rPr>
        <w:t xml:space="preserve"> МР могут быть использованы и при назначении других видов (родов) экспертиз.</w:t>
      </w:r>
    </w:p>
    <w:p w14:paraId="616A0B41" w14:textId="6C90D073" w:rsidR="00657D8D" w:rsidRDefault="00110BB6" w:rsidP="00512FDE">
      <w:pPr>
        <w:spacing w:before="120" w:after="0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110BB6">
        <w:rPr>
          <w:rFonts w:ascii="Calibri" w:eastAsia="Times New Roman" w:hAnsi="Calibri" w:cs="Times New Roman"/>
          <w:b/>
          <w:bCs/>
          <w:sz w:val="24"/>
          <w:szCs w:val="24"/>
        </w:rPr>
        <w:t>1.2.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57D8D" w:rsidRPr="00AE2B54">
        <w:rPr>
          <w:rFonts w:ascii="Calibri" w:eastAsia="Times New Roman" w:hAnsi="Calibri" w:cs="Times New Roman"/>
          <w:sz w:val="24"/>
          <w:szCs w:val="24"/>
        </w:rPr>
        <w:t>Государственная судебно-экспертная деятельность осуществляется</w:t>
      </w:r>
      <w:r w:rsidR="00657D8D">
        <w:rPr>
          <w:rStyle w:val="af1"/>
          <w:rFonts w:ascii="Calibri" w:eastAsia="Times New Roman" w:hAnsi="Calibri" w:cs="Times New Roman"/>
          <w:sz w:val="24"/>
          <w:szCs w:val="24"/>
        </w:rPr>
        <w:footnoteReference w:id="1"/>
      </w:r>
      <w:r w:rsidR="00657D8D" w:rsidRPr="00AE2B54">
        <w:rPr>
          <w:rFonts w:ascii="Calibri" w:eastAsia="Times New Roman" w:hAnsi="Calibri" w:cs="Times New Roman"/>
          <w:sz w:val="24"/>
          <w:szCs w:val="24"/>
        </w:rPr>
        <w:t xml:space="preserve"> в процессе судопроизводства</w:t>
      </w:r>
      <w:r w:rsidR="00657D8D">
        <w:rPr>
          <w:rFonts w:ascii="Calibri" w:eastAsia="Times New Roman" w:hAnsi="Calibri" w:cs="Times New Roman"/>
          <w:sz w:val="24"/>
          <w:szCs w:val="24"/>
        </w:rPr>
        <w:t>:</w:t>
      </w:r>
    </w:p>
    <w:p w14:paraId="3C3EA836" w14:textId="23CD2CD0" w:rsidR="00657D8D" w:rsidRPr="002A2F34" w:rsidRDefault="00657D8D" w:rsidP="00512FDE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2A2F34">
        <w:rPr>
          <w:rFonts w:ascii="Calibri" w:eastAsia="Times New Roman" w:hAnsi="Calibri" w:cs="Times New Roman"/>
          <w:sz w:val="24"/>
          <w:szCs w:val="24"/>
        </w:rPr>
        <w:t>государственными судебно-экспертными учреждениями и государственными судебными экспертами…(ст. 1)</w:t>
      </w:r>
      <w:r w:rsidR="00624AA0">
        <w:rPr>
          <w:rFonts w:ascii="Calibri" w:eastAsia="Times New Roman" w:hAnsi="Calibri" w:cs="Times New Roman"/>
          <w:sz w:val="24"/>
          <w:szCs w:val="24"/>
        </w:rPr>
        <w:t>;</w:t>
      </w:r>
    </w:p>
    <w:p w14:paraId="4AC7F329" w14:textId="4690DA22" w:rsidR="00657D8D" w:rsidRDefault="00657D8D" w:rsidP="00512FDE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2A2F34">
        <w:rPr>
          <w:rFonts w:ascii="Calibri" w:eastAsia="Times New Roman" w:hAnsi="Calibri" w:cs="Times New Roman"/>
          <w:sz w:val="24"/>
          <w:szCs w:val="24"/>
        </w:rPr>
        <w:t xml:space="preserve">вне государственных судебно-экспертных учреждений лицами, </w:t>
      </w:r>
      <w:r w:rsidRPr="00512FDE">
        <w:rPr>
          <w:rFonts w:ascii="Calibri" w:eastAsia="Times New Roman" w:hAnsi="Calibri" w:cs="Times New Roman"/>
          <w:b/>
          <w:sz w:val="24"/>
          <w:szCs w:val="24"/>
        </w:rPr>
        <w:t>обладающими специальными знаниями</w:t>
      </w:r>
      <w:r w:rsidRPr="002A2F34">
        <w:rPr>
          <w:rFonts w:ascii="Calibri" w:eastAsia="Times New Roman" w:hAnsi="Calibri" w:cs="Times New Roman"/>
          <w:sz w:val="24"/>
          <w:szCs w:val="24"/>
        </w:rPr>
        <w:t xml:space="preserve"> в области науки, техники, искусства или ремесла, но не являющимися государственными судебными экспертами (ч. 1 ст. 41).</w:t>
      </w:r>
    </w:p>
    <w:p w14:paraId="3E0D265D" w14:textId="5CC313CA" w:rsidR="007A211B" w:rsidRDefault="007A211B" w:rsidP="00512FDE">
      <w:pPr>
        <w:spacing w:after="0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7A211B">
        <w:rPr>
          <w:rFonts w:ascii="Calibri" w:eastAsia="Times New Roman" w:hAnsi="Calibri" w:cs="Times New Roman"/>
          <w:sz w:val="24"/>
          <w:szCs w:val="24"/>
        </w:rPr>
        <w:t xml:space="preserve">Эксперт проводит исследования объективно, на строго научной и практической основе, </w:t>
      </w:r>
      <w:r w:rsidRPr="007A211B">
        <w:rPr>
          <w:rFonts w:ascii="Calibri" w:eastAsia="Times New Roman" w:hAnsi="Calibri" w:cs="Times New Roman"/>
          <w:sz w:val="24"/>
          <w:szCs w:val="24"/>
          <w:u w:val="single"/>
        </w:rPr>
        <w:t>в пределах соответствующей специальности</w:t>
      </w:r>
      <w:r w:rsidRPr="007A211B">
        <w:rPr>
          <w:rFonts w:ascii="Calibri" w:eastAsia="Times New Roman" w:hAnsi="Calibri" w:cs="Times New Roman"/>
          <w:sz w:val="24"/>
          <w:szCs w:val="24"/>
        </w:rPr>
        <w:t>, всесторонне и в полном объеме</w:t>
      </w:r>
      <w:r w:rsidR="00512FDE">
        <w:rPr>
          <w:rFonts w:ascii="Calibri" w:eastAsia="Times New Roman" w:hAnsi="Calibri" w:cs="Times New Roman"/>
          <w:sz w:val="24"/>
          <w:szCs w:val="24"/>
        </w:rPr>
        <w:br/>
        <w:t>(ч. 1 ст. </w:t>
      </w:r>
      <w:r>
        <w:rPr>
          <w:rFonts w:ascii="Calibri" w:eastAsia="Times New Roman" w:hAnsi="Calibri" w:cs="Times New Roman"/>
          <w:sz w:val="24"/>
          <w:szCs w:val="24"/>
        </w:rPr>
        <w:t>8)</w:t>
      </w:r>
      <w:r w:rsidRPr="007A211B">
        <w:rPr>
          <w:rFonts w:ascii="Calibri" w:eastAsia="Times New Roman" w:hAnsi="Calibri" w:cs="Times New Roman"/>
          <w:sz w:val="24"/>
          <w:szCs w:val="24"/>
        </w:rPr>
        <w:t>.</w:t>
      </w:r>
    </w:p>
    <w:p w14:paraId="7B9C96A5" w14:textId="113CF1AB" w:rsidR="00AA578D" w:rsidRPr="002A2F34" w:rsidRDefault="00AA578D" w:rsidP="00512FDE">
      <w:pPr>
        <w:spacing w:after="0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AA578D">
        <w:rPr>
          <w:rFonts w:ascii="Calibri" w:eastAsia="Times New Roman" w:hAnsi="Calibri" w:cs="Times New Roman"/>
          <w:sz w:val="24"/>
          <w:szCs w:val="24"/>
        </w:rPr>
        <w:lastRenderedPageBreak/>
        <w:t xml:space="preserve">Профессиональные и квалификационные требования, предъявляемые к </w:t>
      </w:r>
      <w:r>
        <w:rPr>
          <w:rFonts w:ascii="Calibri" w:eastAsia="Times New Roman" w:hAnsi="Calibri" w:cs="Times New Roman"/>
          <w:sz w:val="24"/>
          <w:szCs w:val="24"/>
        </w:rPr>
        <w:t xml:space="preserve">государственному судебному </w:t>
      </w:r>
      <w:r w:rsidRPr="00AA578D">
        <w:rPr>
          <w:rFonts w:ascii="Calibri" w:eastAsia="Times New Roman" w:hAnsi="Calibri" w:cs="Times New Roman"/>
          <w:sz w:val="24"/>
          <w:szCs w:val="24"/>
        </w:rPr>
        <w:t>эксперту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62F6">
        <w:rPr>
          <w:rFonts w:ascii="Calibri" w:eastAsia="Times New Roman" w:hAnsi="Calibri" w:cs="Times New Roman"/>
          <w:sz w:val="24"/>
          <w:szCs w:val="24"/>
        </w:rPr>
        <w:t>установлены</w:t>
      </w:r>
      <w:r w:rsidR="00D16CBB">
        <w:rPr>
          <w:rFonts w:ascii="Calibri" w:eastAsia="Times New Roman" w:hAnsi="Calibri" w:cs="Times New Roman"/>
          <w:sz w:val="24"/>
          <w:szCs w:val="24"/>
        </w:rPr>
        <w:t>,</w:t>
      </w:r>
      <w:r w:rsidR="002B62F6">
        <w:rPr>
          <w:rFonts w:ascii="Calibri" w:eastAsia="Times New Roman" w:hAnsi="Calibri" w:cs="Times New Roman"/>
          <w:sz w:val="24"/>
          <w:szCs w:val="24"/>
        </w:rPr>
        <w:t xml:space="preserve"> и о</w:t>
      </w:r>
      <w:r w:rsidR="002B62F6" w:rsidRPr="00AA578D">
        <w:rPr>
          <w:rFonts w:ascii="Calibri" w:eastAsia="Times New Roman" w:hAnsi="Calibri" w:cs="Times New Roman"/>
          <w:sz w:val="24"/>
          <w:szCs w:val="24"/>
        </w:rPr>
        <w:t>пределение уровня</w:t>
      </w:r>
      <w:r w:rsidR="002B62F6">
        <w:rPr>
          <w:rFonts w:ascii="Calibri" w:eastAsia="Times New Roman" w:hAnsi="Calibri" w:cs="Times New Roman"/>
          <w:sz w:val="24"/>
          <w:szCs w:val="24"/>
        </w:rPr>
        <w:t xml:space="preserve"> его</w:t>
      </w:r>
      <w:r w:rsidR="002B62F6" w:rsidRPr="00AA578D">
        <w:rPr>
          <w:rFonts w:ascii="Calibri" w:eastAsia="Times New Roman" w:hAnsi="Calibri" w:cs="Times New Roman"/>
          <w:sz w:val="24"/>
          <w:szCs w:val="24"/>
        </w:rPr>
        <w:t xml:space="preserve"> квалификации </w:t>
      </w:r>
      <w:r w:rsidR="002B62F6">
        <w:rPr>
          <w:rFonts w:ascii="Calibri" w:eastAsia="Times New Roman" w:hAnsi="Calibri" w:cs="Times New Roman"/>
          <w:sz w:val="24"/>
          <w:szCs w:val="24"/>
        </w:rPr>
        <w:t>осуществляется</w:t>
      </w:r>
      <w:r w:rsidR="00D16CBB">
        <w:rPr>
          <w:rFonts w:ascii="Calibri" w:eastAsia="Times New Roman" w:hAnsi="Calibri" w:cs="Times New Roman"/>
          <w:sz w:val="24"/>
          <w:szCs w:val="24"/>
        </w:rPr>
        <w:t>,</w:t>
      </w:r>
      <w:r w:rsidR="002B62F6">
        <w:rPr>
          <w:rFonts w:ascii="Calibri" w:eastAsia="Times New Roman" w:hAnsi="Calibri" w:cs="Times New Roman"/>
          <w:sz w:val="24"/>
          <w:szCs w:val="24"/>
        </w:rPr>
        <w:t xml:space="preserve"> в порядке ст. 13</w:t>
      </w:r>
      <w:r>
        <w:rPr>
          <w:rFonts w:ascii="Calibri" w:eastAsia="Times New Roman" w:hAnsi="Calibri" w:cs="Times New Roman"/>
          <w:sz w:val="24"/>
          <w:szCs w:val="24"/>
        </w:rPr>
        <w:t>.</w:t>
      </w:r>
    </w:p>
    <w:p w14:paraId="26DFCC71" w14:textId="5AE9AE80" w:rsidR="00B734D3" w:rsidRDefault="00076FC8" w:rsidP="00C91AEA">
      <w:pPr>
        <w:spacing w:before="120" w:after="0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1</w:t>
      </w:r>
      <w:r w:rsidR="00657D8D">
        <w:rPr>
          <w:rFonts w:ascii="Calibri" w:eastAsia="Times New Roman" w:hAnsi="Calibri" w:cs="Times New Roman"/>
          <w:b/>
          <w:sz w:val="24"/>
          <w:szCs w:val="24"/>
        </w:rPr>
        <w:t>.</w:t>
      </w:r>
      <w:r w:rsidR="000F59AC">
        <w:rPr>
          <w:rFonts w:ascii="Calibri" w:eastAsia="Times New Roman" w:hAnsi="Calibri" w:cs="Times New Roman"/>
          <w:b/>
          <w:sz w:val="24"/>
          <w:szCs w:val="24"/>
        </w:rPr>
        <w:t>3</w:t>
      </w:r>
      <w:r w:rsidR="00091BCB">
        <w:rPr>
          <w:rFonts w:ascii="Calibri" w:eastAsia="Times New Roman" w:hAnsi="Calibri" w:cs="Times New Roman"/>
          <w:b/>
          <w:sz w:val="24"/>
          <w:szCs w:val="24"/>
        </w:rPr>
        <w:t>.</w:t>
      </w:r>
      <w:r w:rsidR="00091BC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22578" w:rsidRPr="00522578">
        <w:rPr>
          <w:rFonts w:ascii="Calibri" w:eastAsia="Times New Roman" w:hAnsi="Calibri" w:cs="Times New Roman"/>
          <w:sz w:val="24"/>
          <w:szCs w:val="24"/>
        </w:rPr>
        <w:t>В соответствии с положениями</w:t>
      </w:r>
      <w:r w:rsidR="00522578">
        <w:rPr>
          <w:rFonts w:ascii="Calibri" w:eastAsia="Times New Roman" w:hAnsi="Calibri" w:cs="Times New Roman"/>
          <w:sz w:val="24"/>
          <w:szCs w:val="24"/>
        </w:rPr>
        <w:t xml:space="preserve"> процессуального законодательства (</w:t>
      </w:r>
      <w:r w:rsidR="00657D8D" w:rsidRPr="00296268">
        <w:rPr>
          <w:rFonts w:ascii="Calibri" w:eastAsia="Times New Roman" w:hAnsi="Calibri" w:cs="Times New Roman"/>
          <w:sz w:val="24"/>
          <w:szCs w:val="24"/>
        </w:rPr>
        <w:t>ст. 82 АПК РФ</w:t>
      </w:r>
      <w:r w:rsidR="00657D8D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522578" w:rsidRPr="00522578">
        <w:rPr>
          <w:rFonts w:ascii="Calibri" w:eastAsia="Times New Roman" w:hAnsi="Calibri" w:cs="Times New Roman"/>
          <w:sz w:val="24"/>
          <w:szCs w:val="24"/>
        </w:rPr>
        <w:t>ст. 79 ГПК РФ</w:t>
      </w:r>
      <w:r w:rsidR="00522578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657D8D">
        <w:rPr>
          <w:rFonts w:ascii="Calibri" w:eastAsia="Times New Roman" w:hAnsi="Calibri" w:cs="Times New Roman"/>
          <w:sz w:val="24"/>
          <w:szCs w:val="24"/>
        </w:rPr>
        <w:t>ст. 77 КАС РФ</w:t>
      </w:r>
      <w:r w:rsidR="00492CD0">
        <w:rPr>
          <w:rFonts w:ascii="Calibri" w:eastAsia="Times New Roman" w:hAnsi="Calibri" w:cs="Times New Roman"/>
          <w:sz w:val="24"/>
          <w:szCs w:val="24"/>
        </w:rPr>
        <w:t>,</w:t>
      </w:r>
      <w:r w:rsidR="00492CD0" w:rsidRPr="00492CD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92CD0" w:rsidRPr="00303FC4">
        <w:rPr>
          <w:rFonts w:ascii="Calibri" w:eastAsia="Times New Roman" w:hAnsi="Calibri" w:cs="Times New Roman"/>
          <w:sz w:val="24"/>
          <w:szCs w:val="24"/>
        </w:rPr>
        <w:t>ст. 195</w:t>
      </w:r>
      <w:r w:rsidR="00492CD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92CD0" w:rsidRPr="00303FC4">
        <w:rPr>
          <w:rFonts w:ascii="Calibri" w:eastAsia="Times New Roman" w:hAnsi="Calibri" w:cs="Times New Roman"/>
          <w:sz w:val="24"/>
          <w:szCs w:val="24"/>
        </w:rPr>
        <w:t>УПК РФ</w:t>
      </w:r>
      <w:r w:rsidR="00522578">
        <w:rPr>
          <w:rFonts w:ascii="Calibri" w:eastAsia="Times New Roman" w:hAnsi="Calibri" w:cs="Times New Roman"/>
          <w:sz w:val="24"/>
          <w:szCs w:val="24"/>
        </w:rPr>
        <w:t>)</w:t>
      </w:r>
      <w:r w:rsidR="00522578" w:rsidRPr="00522578">
        <w:rPr>
          <w:rFonts w:ascii="Calibri" w:eastAsia="Times New Roman" w:hAnsi="Calibri" w:cs="Times New Roman"/>
          <w:sz w:val="24"/>
          <w:szCs w:val="24"/>
        </w:rPr>
        <w:t xml:space="preserve"> производство экспертизы может быть поручено судебно-экспертному учреждению, конкретному эксперту или нескольким экспертам, обладающим специальными знаниями, необходимыми для ответа на поставленные вопросы.</w:t>
      </w:r>
    </w:p>
    <w:p w14:paraId="40B21388" w14:textId="4CDAA075" w:rsidR="005063A1" w:rsidRPr="00CA5614" w:rsidRDefault="00EF0E46" w:rsidP="005063A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EF0E46">
        <w:rPr>
          <w:rFonts w:ascii="Calibri" w:eastAsia="Times New Roman" w:hAnsi="Calibri" w:cs="Times New Roman"/>
          <w:sz w:val="24"/>
          <w:szCs w:val="24"/>
        </w:rPr>
        <w:t xml:space="preserve">Выбор экспертного учреждения или эксперта находится в компетенции суда. </w:t>
      </w:r>
      <w:r w:rsidR="005063A1">
        <w:rPr>
          <w:rFonts w:ascii="Calibri" w:eastAsia="Times New Roman" w:hAnsi="Calibri" w:cs="Times New Roman"/>
          <w:sz w:val="24"/>
          <w:szCs w:val="24"/>
        </w:rPr>
        <w:t>«</w:t>
      </w:r>
      <w:r w:rsidR="00AF5C6D">
        <w:rPr>
          <w:rFonts w:ascii="Calibri" w:eastAsia="Times New Roman" w:hAnsi="Calibri" w:cs="Times New Roman"/>
          <w:sz w:val="24"/>
          <w:szCs w:val="24"/>
        </w:rPr>
        <w:t>П</w:t>
      </w:r>
      <w:r w:rsidR="005063A1" w:rsidRPr="00CA5614">
        <w:rPr>
          <w:rFonts w:ascii="Calibri" w:eastAsia="Times New Roman" w:hAnsi="Calibri" w:cs="Times New Roman"/>
          <w:sz w:val="24"/>
          <w:szCs w:val="24"/>
        </w:rPr>
        <w:t xml:space="preserve">о смыслу процессуальных норм, регламентирующих порядок назначения экспертизы, определение конкретной экспертной организации является прерогативой суда, рассматривающего дело, и осуществляется на основе оценки совокупности всех фактов: </w:t>
      </w:r>
    </w:p>
    <w:p w14:paraId="0AA42240" w14:textId="4149A355" w:rsidR="005063A1" w:rsidRPr="006A06C7" w:rsidRDefault="005063A1" w:rsidP="00512FDE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6A06C7">
        <w:rPr>
          <w:rFonts w:ascii="Calibri" w:eastAsia="Times New Roman" w:hAnsi="Calibri" w:cs="Times New Roman"/>
          <w:sz w:val="24"/>
          <w:szCs w:val="24"/>
        </w:rPr>
        <w:t>возможности проведения заявленной экспертизы</w:t>
      </w:r>
      <w:r w:rsidR="00050707">
        <w:rPr>
          <w:rFonts w:ascii="Calibri" w:eastAsia="Times New Roman" w:hAnsi="Calibri" w:cs="Times New Roman"/>
          <w:sz w:val="24"/>
          <w:szCs w:val="24"/>
        </w:rPr>
        <w:t>;</w:t>
      </w:r>
      <w:r w:rsidRPr="006A06C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55C29C8F" w14:textId="410BD19D" w:rsidR="005063A1" w:rsidRPr="006A06C7" w:rsidRDefault="005063A1" w:rsidP="00512FDE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6A06C7">
        <w:rPr>
          <w:rFonts w:ascii="Calibri" w:eastAsia="Times New Roman" w:hAnsi="Calibri" w:cs="Times New Roman"/>
          <w:sz w:val="24"/>
          <w:szCs w:val="24"/>
        </w:rPr>
        <w:t>квалификации экспертов</w:t>
      </w:r>
      <w:r w:rsidR="00050707">
        <w:rPr>
          <w:rFonts w:ascii="Calibri" w:eastAsia="Times New Roman" w:hAnsi="Calibri" w:cs="Times New Roman"/>
          <w:sz w:val="24"/>
          <w:szCs w:val="24"/>
        </w:rPr>
        <w:t>;</w:t>
      </w:r>
      <w:r w:rsidRPr="006A06C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25FCF357" w14:textId="7D7556CA" w:rsidR="005063A1" w:rsidRPr="006A06C7" w:rsidRDefault="005063A1" w:rsidP="00512FDE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6A06C7">
        <w:rPr>
          <w:rFonts w:ascii="Calibri" w:eastAsia="Times New Roman" w:hAnsi="Calibri" w:cs="Times New Roman"/>
          <w:sz w:val="24"/>
          <w:szCs w:val="24"/>
        </w:rPr>
        <w:t>стоимости и сроков проведения экспертизы</w:t>
      </w:r>
      <w:r w:rsidR="00050707">
        <w:rPr>
          <w:rFonts w:ascii="Calibri" w:eastAsia="Times New Roman" w:hAnsi="Calibri" w:cs="Times New Roman"/>
          <w:sz w:val="24"/>
          <w:szCs w:val="24"/>
        </w:rPr>
        <w:t>;</w:t>
      </w:r>
      <w:r w:rsidRPr="006A06C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74101ED4" w14:textId="1D0F47BB" w:rsidR="005063A1" w:rsidRPr="006A06C7" w:rsidRDefault="005063A1" w:rsidP="00C91AEA">
      <w:pPr>
        <w:pStyle w:val="a8"/>
        <w:numPr>
          <w:ilvl w:val="0"/>
          <w:numId w:val="7"/>
        </w:numPr>
        <w:spacing w:after="120"/>
        <w:ind w:left="1276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6A06C7">
        <w:rPr>
          <w:rFonts w:ascii="Calibri" w:eastAsia="Times New Roman" w:hAnsi="Calibri" w:cs="Times New Roman"/>
          <w:sz w:val="24"/>
          <w:szCs w:val="24"/>
        </w:rPr>
        <w:t xml:space="preserve">местоположения экспертной организации </w:t>
      </w:r>
      <w:r w:rsidRPr="006A06C7">
        <w:rPr>
          <w:rFonts w:ascii="Calibri" w:eastAsia="Times New Roman" w:hAnsi="Calibri" w:cs="Times New Roman"/>
          <w:b/>
          <w:sz w:val="24"/>
          <w:szCs w:val="24"/>
          <w:u w:val="single"/>
        </w:rPr>
        <w:t>и т.д.</w:t>
      </w:r>
      <w:r w:rsidRPr="00C91AEA">
        <w:rPr>
          <w:rFonts w:ascii="Calibri" w:eastAsia="Times New Roman" w:hAnsi="Calibri" w:cs="Times New Roman"/>
          <w:b/>
          <w:sz w:val="24"/>
          <w:szCs w:val="24"/>
        </w:rPr>
        <w:t>»</w:t>
      </w:r>
      <w:r>
        <w:rPr>
          <w:rStyle w:val="af1"/>
          <w:rFonts w:ascii="Calibri" w:eastAsia="Times New Roman" w:hAnsi="Calibri" w:cs="Times New Roman"/>
          <w:sz w:val="24"/>
          <w:szCs w:val="24"/>
        </w:rPr>
        <w:footnoteReference w:id="2"/>
      </w:r>
      <w:r w:rsidRPr="006A06C7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Style w:val="af1"/>
          <w:rFonts w:ascii="Calibri" w:eastAsia="Times New Roman" w:hAnsi="Calibri" w:cs="Times New Roman"/>
          <w:sz w:val="24"/>
          <w:szCs w:val="24"/>
        </w:rPr>
        <w:footnoteReference w:id="3"/>
      </w:r>
      <w:r w:rsidRPr="006A06C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9"/>
        <w:gridCol w:w="7258"/>
      </w:tblGrid>
      <w:tr w:rsidR="00CD05F5" w:rsidRPr="00CD05F5" w14:paraId="5C555F4A" w14:textId="77777777" w:rsidTr="00C91AEA">
        <w:trPr>
          <w:tblHeader/>
        </w:trPr>
        <w:tc>
          <w:tcPr>
            <w:tcW w:w="2376" w:type="dxa"/>
            <w:shd w:val="clear" w:color="auto" w:fill="F2F2F2" w:themeFill="background1" w:themeFillShade="F2"/>
          </w:tcPr>
          <w:p w14:paraId="4EBBFD33" w14:textId="022C02E8" w:rsidR="00CD05F5" w:rsidRPr="00CD05F5" w:rsidRDefault="00CD05F5" w:rsidP="00C91AEA">
            <w:pPr>
              <w:tabs>
                <w:tab w:val="left" w:pos="1841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D05F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Вид процесса</w:t>
            </w:r>
          </w:p>
        </w:tc>
        <w:tc>
          <w:tcPr>
            <w:tcW w:w="7477" w:type="dxa"/>
            <w:shd w:val="clear" w:color="auto" w:fill="F2F2F2" w:themeFill="background1" w:themeFillShade="F2"/>
          </w:tcPr>
          <w:p w14:paraId="1CED72AF" w14:textId="111087BB" w:rsidR="00CD05F5" w:rsidRPr="00CD05F5" w:rsidRDefault="00CD05F5" w:rsidP="00C91AEA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К</w:t>
            </w:r>
            <w:r w:rsidR="00C32DA9">
              <w:rPr>
                <w:rFonts w:ascii="Calibri" w:eastAsia="Times New Roman" w:hAnsi="Calibri" w:cs="Times New Roman"/>
                <w:b/>
                <w:sz w:val="24"/>
                <w:szCs w:val="24"/>
              </w:rPr>
              <w:t>ому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может </w:t>
            </w:r>
            <w:r w:rsidR="00C32DA9">
              <w:rPr>
                <w:rFonts w:ascii="Calibri" w:eastAsia="Times New Roman" w:hAnsi="Calibri" w:cs="Times New Roman"/>
                <w:b/>
                <w:sz w:val="24"/>
                <w:szCs w:val="24"/>
              </w:rPr>
              <w:t>быть поручено производство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судебн</w:t>
            </w:r>
            <w:r w:rsidR="00C32DA9">
              <w:rPr>
                <w:rFonts w:ascii="Calibri" w:eastAsia="Times New Roman" w:hAnsi="Calibri" w:cs="Times New Roman"/>
                <w:b/>
                <w:sz w:val="24"/>
                <w:szCs w:val="24"/>
              </w:rPr>
              <w:t>ой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экспертиз</w:t>
            </w:r>
            <w:r w:rsidR="00C32DA9">
              <w:rPr>
                <w:rFonts w:ascii="Calibri" w:eastAsia="Times New Roman" w:hAnsi="Calibri" w:cs="Times New Roman"/>
                <w:b/>
                <w:sz w:val="24"/>
                <w:szCs w:val="24"/>
              </w:rPr>
              <w:t>ы</w:t>
            </w:r>
          </w:p>
        </w:tc>
      </w:tr>
      <w:tr w:rsidR="00CD05F5" w:rsidRPr="00CD05F5" w14:paraId="165B8D29" w14:textId="77777777" w:rsidTr="00C91AEA">
        <w:tc>
          <w:tcPr>
            <w:tcW w:w="2376" w:type="dxa"/>
          </w:tcPr>
          <w:p w14:paraId="5235912B" w14:textId="0A3359FB" w:rsidR="00CD05F5" w:rsidRPr="00C91AEA" w:rsidRDefault="00CD05F5" w:rsidP="00C91AE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91AEA">
              <w:rPr>
                <w:rFonts w:ascii="Calibri" w:eastAsia="Times New Roman" w:hAnsi="Calibri" w:cs="Times New Roman"/>
                <w:sz w:val="24"/>
                <w:szCs w:val="24"/>
              </w:rPr>
              <w:t>Арбитражный</w:t>
            </w:r>
          </w:p>
        </w:tc>
        <w:tc>
          <w:tcPr>
            <w:tcW w:w="7477" w:type="dxa"/>
          </w:tcPr>
          <w:p w14:paraId="45C9BDD4" w14:textId="7575366F" w:rsidR="00CD05F5" w:rsidRPr="00B91A2D" w:rsidRDefault="00CD05F5" w:rsidP="0011252E">
            <w:pPr>
              <w:pStyle w:val="a8"/>
              <w:numPr>
                <w:ilvl w:val="0"/>
                <w:numId w:val="7"/>
              </w:numPr>
              <w:spacing w:line="259" w:lineRule="auto"/>
              <w:ind w:left="318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91A2D">
              <w:rPr>
                <w:rFonts w:ascii="Calibri" w:eastAsia="Times New Roman" w:hAnsi="Calibri" w:cs="Times New Roman"/>
                <w:sz w:val="24"/>
                <w:szCs w:val="24"/>
              </w:rPr>
              <w:t>государственн</w:t>
            </w:r>
            <w:r w:rsidR="00C32DA9">
              <w:rPr>
                <w:rFonts w:ascii="Calibri" w:eastAsia="Times New Roman" w:hAnsi="Calibri" w:cs="Times New Roman"/>
                <w:sz w:val="24"/>
                <w:szCs w:val="24"/>
              </w:rPr>
              <w:t>ому</w:t>
            </w:r>
            <w:r w:rsidRPr="00B91A2D">
              <w:rPr>
                <w:rFonts w:ascii="Calibri" w:eastAsia="Times New Roman" w:hAnsi="Calibri" w:cs="Times New Roman"/>
                <w:sz w:val="24"/>
                <w:szCs w:val="24"/>
              </w:rPr>
              <w:t xml:space="preserve"> судебно-экспертн</w:t>
            </w:r>
            <w:r w:rsidR="00C32DA9">
              <w:rPr>
                <w:rFonts w:ascii="Calibri" w:eastAsia="Times New Roman" w:hAnsi="Calibri" w:cs="Times New Roman"/>
                <w:sz w:val="24"/>
                <w:szCs w:val="24"/>
              </w:rPr>
              <w:t>ому</w:t>
            </w:r>
            <w:r w:rsidRPr="00B91A2D">
              <w:rPr>
                <w:rFonts w:ascii="Calibri" w:eastAsia="Times New Roman" w:hAnsi="Calibri" w:cs="Times New Roman"/>
                <w:sz w:val="24"/>
                <w:szCs w:val="24"/>
              </w:rPr>
              <w:t xml:space="preserve"> учреждени</w:t>
            </w:r>
            <w:r w:rsidR="00C32DA9">
              <w:rPr>
                <w:rFonts w:ascii="Calibri" w:eastAsia="Times New Roman" w:hAnsi="Calibri" w:cs="Times New Roman"/>
                <w:sz w:val="24"/>
                <w:szCs w:val="24"/>
              </w:rPr>
              <w:t>ю;</w:t>
            </w:r>
          </w:p>
          <w:p w14:paraId="6784539E" w14:textId="00563551" w:rsidR="00CD05F5" w:rsidRPr="00B91A2D" w:rsidRDefault="00CD05F5" w:rsidP="0011252E">
            <w:pPr>
              <w:pStyle w:val="a8"/>
              <w:numPr>
                <w:ilvl w:val="0"/>
                <w:numId w:val="7"/>
              </w:numPr>
              <w:spacing w:line="259" w:lineRule="auto"/>
              <w:ind w:left="318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91A2D">
              <w:rPr>
                <w:rFonts w:ascii="Calibri" w:eastAsia="Times New Roman" w:hAnsi="Calibri" w:cs="Times New Roman"/>
                <w:sz w:val="24"/>
                <w:szCs w:val="24"/>
              </w:rPr>
              <w:t>негосударственн</w:t>
            </w:r>
            <w:r w:rsidR="00C32DA9">
              <w:rPr>
                <w:rFonts w:ascii="Calibri" w:eastAsia="Times New Roman" w:hAnsi="Calibri" w:cs="Times New Roman"/>
                <w:sz w:val="24"/>
                <w:szCs w:val="24"/>
              </w:rPr>
              <w:t>ой</w:t>
            </w:r>
            <w:r w:rsidRPr="00B91A2D">
              <w:rPr>
                <w:rFonts w:ascii="Calibri" w:eastAsia="Times New Roman" w:hAnsi="Calibri" w:cs="Times New Roman"/>
                <w:sz w:val="24"/>
                <w:szCs w:val="24"/>
              </w:rPr>
              <w:t xml:space="preserve"> экспертн</w:t>
            </w:r>
            <w:r w:rsidR="00C32DA9">
              <w:rPr>
                <w:rFonts w:ascii="Calibri" w:eastAsia="Times New Roman" w:hAnsi="Calibri" w:cs="Times New Roman"/>
                <w:sz w:val="24"/>
                <w:szCs w:val="24"/>
              </w:rPr>
              <w:t>ой</w:t>
            </w:r>
            <w:r w:rsidRPr="00B91A2D">
              <w:rPr>
                <w:rFonts w:ascii="Calibri" w:eastAsia="Times New Roman" w:hAnsi="Calibri" w:cs="Times New Roman"/>
                <w:sz w:val="24"/>
                <w:szCs w:val="24"/>
              </w:rPr>
              <w:t xml:space="preserve"> организаци</w:t>
            </w:r>
            <w:r w:rsidR="00C32DA9">
              <w:rPr>
                <w:rFonts w:ascii="Calibri" w:eastAsia="Times New Roman" w:hAnsi="Calibri" w:cs="Times New Roman"/>
                <w:sz w:val="24"/>
                <w:szCs w:val="24"/>
              </w:rPr>
              <w:t>и;</w:t>
            </w:r>
          </w:p>
          <w:p w14:paraId="5A88B9ED" w14:textId="3C8F052E" w:rsidR="00CD05F5" w:rsidRPr="00B91A2D" w:rsidRDefault="00CD05F5" w:rsidP="0011252E">
            <w:pPr>
              <w:pStyle w:val="a8"/>
              <w:numPr>
                <w:ilvl w:val="0"/>
                <w:numId w:val="7"/>
              </w:numPr>
              <w:spacing w:line="259" w:lineRule="auto"/>
              <w:ind w:left="318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91A2D">
              <w:rPr>
                <w:rFonts w:ascii="Calibri" w:eastAsia="Times New Roman" w:hAnsi="Calibri" w:cs="Times New Roman"/>
                <w:sz w:val="24"/>
                <w:szCs w:val="24"/>
              </w:rPr>
              <w:t>лиц</w:t>
            </w:r>
            <w:r w:rsidR="00C32DA9">
              <w:rPr>
                <w:rFonts w:ascii="Calibri" w:eastAsia="Times New Roman" w:hAnsi="Calibri" w:cs="Times New Roman"/>
                <w:sz w:val="24"/>
                <w:szCs w:val="24"/>
              </w:rPr>
              <w:t>ам</w:t>
            </w:r>
            <w:r w:rsidRPr="00B91A2D">
              <w:rPr>
                <w:rFonts w:ascii="Calibri" w:eastAsia="Times New Roman" w:hAnsi="Calibri" w:cs="Times New Roman"/>
                <w:sz w:val="24"/>
                <w:szCs w:val="24"/>
              </w:rPr>
              <w:t>, обладающ</w:t>
            </w:r>
            <w:r w:rsidR="00C32DA9">
              <w:rPr>
                <w:rFonts w:ascii="Calibri" w:eastAsia="Times New Roman" w:hAnsi="Calibri" w:cs="Times New Roman"/>
                <w:sz w:val="24"/>
                <w:szCs w:val="24"/>
              </w:rPr>
              <w:t>им</w:t>
            </w:r>
            <w:r w:rsidRPr="00B91A2D">
              <w:rPr>
                <w:rFonts w:ascii="Calibri" w:eastAsia="Times New Roman" w:hAnsi="Calibri" w:cs="Times New Roman"/>
                <w:sz w:val="24"/>
                <w:szCs w:val="24"/>
              </w:rPr>
              <w:t xml:space="preserve"> специальными знаниями, но не являющи</w:t>
            </w:r>
            <w:r w:rsidR="00C32DA9">
              <w:rPr>
                <w:rFonts w:ascii="Calibri" w:eastAsia="Times New Roman" w:hAnsi="Calibri" w:cs="Times New Roman"/>
                <w:sz w:val="24"/>
                <w:szCs w:val="24"/>
              </w:rPr>
              <w:t>мся</w:t>
            </w:r>
            <w:r w:rsidRPr="00B91A2D">
              <w:rPr>
                <w:rFonts w:ascii="Calibri" w:eastAsia="Times New Roman" w:hAnsi="Calibri" w:cs="Times New Roman"/>
                <w:sz w:val="24"/>
                <w:szCs w:val="24"/>
              </w:rPr>
              <w:t xml:space="preserve"> работниками экспертного учреждения (организации).</w:t>
            </w:r>
          </w:p>
          <w:p w14:paraId="4A5197A8" w14:textId="05710999" w:rsidR="00CD05F5" w:rsidRDefault="00C32DA9" w:rsidP="00C91AE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Г</w:t>
            </w:r>
            <w:r w:rsidR="00CD05F5" w:rsidRPr="00512FDE">
              <w:rPr>
                <w:rFonts w:ascii="Calibri" w:eastAsia="Times New Roman" w:hAnsi="Calibri" w:cs="Times New Roman"/>
                <w:b/>
                <w:sz w:val="24"/>
                <w:szCs w:val="24"/>
              </w:rPr>
              <w:t>осударственные судебно-экспертные учреждения не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 </w:t>
            </w:r>
            <w:r w:rsidR="00CD05F5" w:rsidRPr="00512FDE">
              <w:rPr>
                <w:rFonts w:ascii="Calibri" w:eastAsia="Times New Roman" w:hAnsi="Calibri" w:cs="Times New Roman"/>
                <w:b/>
                <w:sz w:val="24"/>
                <w:szCs w:val="24"/>
              </w:rPr>
              <w:t>имеют приоритет</w:t>
            </w:r>
            <w:r w:rsidR="00CD05F5"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при выборе экспертного учреждения/организации: «</w:t>
            </w:r>
            <w:r w:rsidR="00CD05F5" w:rsidRPr="006F38DA">
              <w:rPr>
                <w:rFonts w:ascii="Calibri" w:eastAsia="Times New Roman" w:hAnsi="Calibri" w:cs="Times New Roman"/>
                <w:sz w:val="24"/>
                <w:szCs w:val="24"/>
              </w:rPr>
              <w:t>Суд не может отказать в проведении экспертизы в негосударственной экспертной организации, а равно лицом, обладающим специальными знаниями, но не являющимся работником экспертного учреждения (организации), только в силу того, что проведение соответствующей экспертизы может быть поручено государственному судебно-экспертному учреждению</w:t>
            </w:r>
            <w:r w:rsidR="00CD05F5">
              <w:rPr>
                <w:rFonts w:ascii="Calibri" w:eastAsia="Times New Roman" w:hAnsi="Calibri" w:cs="Times New Roman"/>
                <w:sz w:val="24"/>
                <w:szCs w:val="24"/>
              </w:rPr>
              <w:t xml:space="preserve"> (п.</w:t>
            </w:r>
            <w:r w:rsidR="001125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="00CD05F5">
              <w:rPr>
                <w:rFonts w:ascii="Calibri" w:eastAsia="Times New Roman" w:hAnsi="Calibri" w:cs="Times New Roman"/>
                <w:sz w:val="24"/>
                <w:szCs w:val="24"/>
              </w:rPr>
              <w:t>1)»</w:t>
            </w:r>
            <w:r w:rsidR="00CD05F5">
              <w:rPr>
                <w:rStyle w:val="af1"/>
                <w:rFonts w:ascii="Calibri" w:eastAsia="Times New Roman" w:hAnsi="Calibri" w:cs="Times New Roman"/>
                <w:sz w:val="24"/>
                <w:szCs w:val="24"/>
              </w:rPr>
              <w:footnoteReference w:id="4"/>
            </w:r>
            <w:r w:rsidR="00CD05F5" w:rsidRPr="006F38DA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14:paraId="6C0EFF0D" w14:textId="30968745" w:rsidR="00CD05F5" w:rsidRPr="00C91AEA" w:rsidRDefault="00CD05F5" w:rsidP="00C91AE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92364">
              <w:rPr>
                <w:rFonts w:ascii="Calibri" w:eastAsia="Times New Roman" w:hAnsi="Calibri" w:cs="Times New Roman"/>
                <w:sz w:val="24"/>
                <w:szCs w:val="24"/>
              </w:rPr>
              <w:t>Основания и критерии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выбора</w:t>
            </w:r>
            <w:r w:rsidRPr="00892364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C32DA9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r w:rsidRPr="00CE6882">
              <w:rPr>
                <w:rFonts w:ascii="Calibri" w:eastAsia="Times New Roman" w:hAnsi="Calibri" w:cs="Times New Roman"/>
                <w:sz w:val="24"/>
                <w:szCs w:val="24"/>
              </w:rPr>
              <w:t xml:space="preserve">ри поручении проведения экспертизы лицу, не являющемуся государственным судебным экспертом, суд выясняет также сведения о его </w:t>
            </w:r>
            <w:r w:rsidRPr="00C91AEA">
              <w:rPr>
                <w:rFonts w:ascii="Calibri" w:eastAsia="Times New Roman" w:hAnsi="Calibri" w:cs="Times New Roman"/>
                <w:sz w:val="24"/>
                <w:szCs w:val="24"/>
              </w:rPr>
              <w:t>образовании, специальности, стаже работы, занимаемой должности</w:t>
            </w:r>
            <w:r w:rsidRPr="00CE6882">
              <w:rPr>
                <w:rFonts w:ascii="Calibri" w:eastAsia="Times New Roman" w:hAnsi="Calibri" w:cs="Times New Roman"/>
                <w:sz w:val="24"/>
                <w:szCs w:val="24"/>
              </w:rPr>
              <w:t xml:space="preserve"> и указывает их в определении о назначении экспертизы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(п. 2)</w:t>
            </w:r>
            <w:r w:rsidRPr="00EF40FA"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CD05F5" w:rsidRPr="00CD05F5" w14:paraId="5C1B7D49" w14:textId="77777777" w:rsidTr="00C91AEA">
        <w:tc>
          <w:tcPr>
            <w:tcW w:w="2376" w:type="dxa"/>
          </w:tcPr>
          <w:p w14:paraId="1CBB11C5" w14:textId="77777777" w:rsidR="0011252E" w:rsidRDefault="00CD05F5" w:rsidP="00C91AE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91AEA">
              <w:rPr>
                <w:rFonts w:ascii="Calibri" w:eastAsia="Times New Roman" w:hAnsi="Calibri" w:cs="Times New Roman"/>
                <w:sz w:val="24"/>
                <w:szCs w:val="24"/>
              </w:rPr>
              <w:t>Гражданский</w:t>
            </w:r>
          </w:p>
          <w:p w14:paraId="5143260D" w14:textId="17820316" w:rsidR="00CD05F5" w:rsidRPr="00C91AEA" w:rsidRDefault="0011252E" w:rsidP="00C91AEA">
            <w:pPr>
              <w:spacing w:line="259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3CBC">
              <w:rPr>
                <w:rFonts w:ascii="Calibri" w:eastAsia="Times New Roman" w:hAnsi="Calibri" w:cs="Times New Roman"/>
                <w:sz w:val="24"/>
                <w:szCs w:val="24"/>
              </w:rPr>
              <w:t>(ч. 1 ст. 79 ГПК РФ)</w:t>
            </w:r>
          </w:p>
        </w:tc>
        <w:tc>
          <w:tcPr>
            <w:tcW w:w="7477" w:type="dxa"/>
          </w:tcPr>
          <w:p w14:paraId="24317B0C" w14:textId="77777777" w:rsidR="0011252E" w:rsidRPr="000C3CBC" w:rsidRDefault="0011252E" w:rsidP="00C91AEA">
            <w:pPr>
              <w:pStyle w:val="a8"/>
              <w:numPr>
                <w:ilvl w:val="0"/>
                <w:numId w:val="7"/>
              </w:numPr>
              <w:spacing w:line="259" w:lineRule="auto"/>
              <w:ind w:left="318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судебно-экспертному учреждению:</w:t>
            </w:r>
            <w:r w:rsidRPr="000C3C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194A2F36" w14:textId="483B8EAB" w:rsidR="0011252E" w:rsidRPr="000C3CBC" w:rsidRDefault="0011252E" w:rsidP="0011252E">
            <w:pPr>
              <w:pStyle w:val="a8"/>
              <w:numPr>
                <w:ilvl w:val="0"/>
                <w:numId w:val="10"/>
              </w:numPr>
              <w:tabs>
                <w:tab w:val="left" w:pos="1418"/>
              </w:tabs>
              <w:ind w:left="74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3CBC">
              <w:rPr>
                <w:rFonts w:ascii="Calibri" w:eastAsia="Times New Roman" w:hAnsi="Calibri" w:cs="Times New Roman"/>
                <w:sz w:val="24"/>
                <w:szCs w:val="24"/>
              </w:rPr>
              <w:t>государственно</w:t>
            </w:r>
            <w:r w:rsidR="00C32DA9">
              <w:rPr>
                <w:rFonts w:ascii="Calibri" w:eastAsia="Times New Roman" w:hAnsi="Calibri" w:cs="Times New Roman"/>
                <w:sz w:val="24"/>
                <w:szCs w:val="24"/>
              </w:rPr>
              <w:t>му</w:t>
            </w:r>
            <w:r w:rsidRPr="000C3CBC">
              <w:rPr>
                <w:rFonts w:ascii="Calibri" w:eastAsia="Times New Roman" w:hAnsi="Calibri" w:cs="Times New Roman"/>
                <w:sz w:val="24"/>
                <w:szCs w:val="24"/>
              </w:rPr>
              <w:t xml:space="preserve"> судебно-экспертно</w:t>
            </w:r>
            <w:r w:rsidR="00C32DA9">
              <w:rPr>
                <w:rFonts w:ascii="Calibri" w:eastAsia="Times New Roman" w:hAnsi="Calibri" w:cs="Times New Roman"/>
                <w:sz w:val="24"/>
                <w:szCs w:val="24"/>
              </w:rPr>
              <w:t>му</w:t>
            </w:r>
            <w:r w:rsidRPr="000C3CBC">
              <w:rPr>
                <w:rFonts w:ascii="Calibri" w:eastAsia="Times New Roman" w:hAnsi="Calibri" w:cs="Times New Roman"/>
                <w:sz w:val="24"/>
                <w:szCs w:val="24"/>
              </w:rPr>
              <w:t xml:space="preserve"> учреждени</w:t>
            </w:r>
            <w:r w:rsidR="00C32DA9">
              <w:rPr>
                <w:rFonts w:ascii="Calibri" w:eastAsia="Times New Roman" w:hAnsi="Calibri" w:cs="Times New Roman"/>
                <w:sz w:val="24"/>
                <w:szCs w:val="24"/>
              </w:rPr>
              <w:t>ю;</w:t>
            </w:r>
          </w:p>
          <w:p w14:paraId="4E01F8C4" w14:textId="6B83C6CB" w:rsidR="0011252E" w:rsidRPr="000C3CBC" w:rsidRDefault="0011252E" w:rsidP="0011252E">
            <w:pPr>
              <w:pStyle w:val="a8"/>
              <w:numPr>
                <w:ilvl w:val="0"/>
                <w:numId w:val="10"/>
              </w:numPr>
              <w:tabs>
                <w:tab w:val="left" w:pos="1418"/>
              </w:tabs>
              <w:ind w:left="74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3CBC">
              <w:rPr>
                <w:rFonts w:ascii="Calibri" w:eastAsia="Times New Roman" w:hAnsi="Calibri" w:cs="Times New Roman"/>
                <w:sz w:val="24"/>
                <w:szCs w:val="24"/>
              </w:rPr>
              <w:t>негосударственн</w:t>
            </w:r>
            <w:r w:rsidR="00C32DA9">
              <w:rPr>
                <w:rFonts w:ascii="Calibri" w:eastAsia="Times New Roman" w:hAnsi="Calibri" w:cs="Times New Roman"/>
                <w:sz w:val="24"/>
                <w:szCs w:val="24"/>
              </w:rPr>
              <w:t>ой</w:t>
            </w:r>
            <w:r w:rsidRPr="000C3CBC">
              <w:rPr>
                <w:rFonts w:ascii="Calibri" w:eastAsia="Times New Roman" w:hAnsi="Calibri" w:cs="Times New Roman"/>
                <w:sz w:val="24"/>
                <w:szCs w:val="24"/>
              </w:rPr>
              <w:t xml:space="preserve"> экспертн</w:t>
            </w:r>
            <w:r w:rsidR="00C32DA9">
              <w:rPr>
                <w:rFonts w:ascii="Calibri" w:eastAsia="Times New Roman" w:hAnsi="Calibri" w:cs="Times New Roman"/>
                <w:sz w:val="24"/>
                <w:szCs w:val="24"/>
              </w:rPr>
              <w:t>ой</w:t>
            </w:r>
            <w:r w:rsidRPr="000C3CBC">
              <w:rPr>
                <w:rFonts w:ascii="Calibri" w:eastAsia="Times New Roman" w:hAnsi="Calibri" w:cs="Times New Roman"/>
                <w:sz w:val="24"/>
                <w:szCs w:val="24"/>
              </w:rPr>
              <w:t xml:space="preserve"> организаци</w:t>
            </w:r>
            <w:r w:rsidR="00C32DA9"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14:paraId="1817977E" w14:textId="396E5980" w:rsidR="00CD05F5" w:rsidRPr="00C91AEA" w:rsidRDefault="0011252E" w:rsidP="00C91AEA">
            <w:pPr>
              <w:pStyle w:val="a8"/>
              <w:numPr>
                <w:ilvl w:val="0"/>
                <w:numId w:val="7"/>
              </w:numPr>
              <w:ind w:left="318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3CBC">
              <w:rPr>
                <w:rFonts w:ascii="Calibri" w:eastAsia="Times New Roman" w:hAnsi="Calibri" w:cs="Times New Roman"/>
                <w:sz w:val="24"/>
                <w:szCs w:val="24"/>
              </w:rPr>
              <w:t>конкретн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ому</w:t>
            </w:r>
            <w:r w:rsidRPr="000C3CBC">
              <w:rPr>
                <w:rFonts w:ascii="Calibri" w:eastAsia="Times New Roman" w:hAnsi="Calibri" w:cs="Times New Roman"/>
                <w:sz w:val="24"/>
                <w:szCs w:val="24"/>
              </w:rPr>
              <w:t xml:space="preserve"> эксперт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у</w:t>
            </w:r>
            <w:r w:rsidRPr="000C3CBC">
              <w:rPr>
                <w:rFonts w:ascii="Calibri" w:eastAsia="Times New Roman" w:hAnsi="Calibri" w:cs="Times New Roman"/>
                <w:sz w:val="24"/>
                <w:szCs w:val="24"/>
              </w:rPr>
              <w:t xml:space="preserve"> или эксперт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ам</w:t>
            </w:r>
            <w:r>
              <w:rPr>
                <w:rStyle w:val="af1"/>
                <w:rFonts w:ascii="Calibri" w:eastAsia="Times New Roman" w:hAnsi="Calibri" w:cs="Times New Roman"/>
                <w:sz w:val="24"/>
                <w:szCs w:val="24"/>
              </w:rPr>
              <w:footnoteReference w:id="5"/>
            </w:r>
            <w:r w:rsidRPr="000C3CBC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492CD0" w:rsidRPr="00CD05F5" w14:paraId="5DBAEC42" w14:textId="77777777" w:rsidTr="00C91AEA">
        <w:tc>
          <w:tcPr>
            <w:tcW w:w="2376" w:type="dxa"/>
          </w:tcPr>
          <w:p w14:paraId="4C98C64C" w14:textId="77777777" w:rsidR="00492CD0" w:rsidRDefault="00492CD0" w:rsidP="00492CD0">
            <w:pPr>
              <w:spacing w:before="12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Административны</w:t>
            </w:r>
            <w:r w:rsidRPr="00CD05F5">
              <w:rPr>
                <w:rFonts w:ascii="Calibri" w:eastAsia="Times New Roman" w:hAnsi="Calibri" w:cs="Times New Roman"/>
                <w:sz w:val="24"/>
                <w:szCs w:val="24"/>
              </w:rPr>
              <w:t>й</w:t>
            </w:r>
          </w:p>
          <w:p w14:paraId="3543B082" w14:textId="1BFC2CE0" w:rsidR="00492CD0" w:rsidRPr="00C91AEA" w:rsidRDefault="00492CD0" w:rsidP="00492CD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(ч. 1 ст. 77 КАС РФ)</w:t>
            </w:r>
          </w:p>
        </w:tc>
        <w:tc>
          <w:tcPr>
            <w:tcW w:w="7477" w:type="dxa"/>
          </w:tcPr>
          <w:p w14:paraId="345249FE" w14:textId="77777777" w:rsidR="00492CD0" w:rsidRDefault="00492CD0" w:rsidP="00492CD0">
            <w:pPr>
              <w:pStyle w:val="a8"/>
              <w:numPr>
                <w:ilvl w:val="0"/>
                <w:numId w:val="7"/>
              </w:numPr>
              <w:spacing w:line="259" w:lineRule="auto"/>
              <w:ind w:left="318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экспертному учреждению;</w:t>
            </w:r>
          </w:p>
          <w:p w14:paraId="53ED6D17" w14:textId="77777777" w:rsidR="00492CD0" w:rsidRDefault="00492CD0" w:rsidP="00492CD0">
            <w:pPr>
              <w:pStyle w:val="a8"/>
              <w:numPr>
                <w:ilvl w:val="0"/>
                <w:numId w:val="7"/>
              </w:numPr>
              <w:spacing w:line="259" w:lineRule="auto"/>
              <w:ind w:left="318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F1D0A">
              <w:rPr>
                <w:rFonts w:ascii="Calibri" w:eastAsia="Times New Roman" w:hAnsi="Calibri" w:cs="Times New Roman"/>
                <w:sz w:val="24"/>
                <w:szCs w:val="24"/>
              </w:rPr>
              <w:t>конкретному эксперту или нескольким эксперт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ам:</w:t>
            </w:r>
          </w:p>
          <w:p w14:paraId="567EE0B3" w14:textId="77777777" w:rsidR="00492CD0" w:rsidRPr="00752724" w:rsidRDefault="00492CD0" w:rsidP="00492CD0">
            <w:pPr>
              <w:pStyle w:val="a8"/>
              <w:numPr>
                <w:ilvl w:val="0"/>
                <w:numId w:val="10"/>
              </w:numPr>
              <w:tabs>
                <w:tab w:val="left" w:pos="1418"/>
              </w:tabs>
              <w:ind w:left="74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5272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экспертам, являющимися работниками государственного судебно-экспертного учреждения, по поручению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руководителя этого учреждения;</w:t>
            </w:r>
          </w:p>
          <w:p w14:paraId="00D74691" w14:textId="5C7F0898" w:rsidR="00492CD0" w:rsidRDefault="00492CD0" w:rsidP="00492CD0">
            <w:pPr>
              <w:pStyle w:val="a8"/>
              <w:numPr>
                <w:ilvl w:val="0"/>
                <w:numId w:val="7"/>
              </w:numPr>
              <w:ind w:left="318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52724">
              <w:rPr>
                <w:rFonts w:ascii="Calibri" w:eastAsia="Times New Roman" w:hAnsi="Calibri" w:cs="Times New Roman"/>
                <w:sz w:val="24"/>
                <w:szCs w:val="24"/>
              </w:rPr>
              <w:t>иным экспертам, которым она поручена судом</w:t>
            </w:r>
            <w:r w:rsidRPr="002F1D0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752724">
              <w:rPr>
                <w:rFonts w:ascii="Calibri" w:eastAsia="Times New Roman" w:hAnsi="Calibri" w:cs="Times New Roman"/>
                <w:sz w:val="24"/>
                <w:szCs w:val="24"/>
              </w:rPr>
              <w:t>(ч. 1 ст. 79 КАС РФ)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492CD0" w:rsidRPr="00CD05F5" w14:paraId="2A99A9B2" w14:textId="77777777" w:rsidTr="00C91AEA">
        <w:tc>
          <w:tcPr>
            <w:tcW w:w="2376" w:type="dxa"/>
          </w:tcPr>
          <w:p w14:paraId="38E8E951" w14:textId="77777777" w:rsidR="00492CD0" w:rsidRDefault="00492CD0" w:rsidP="00492CD0">
            <w:pPr>
              <w:spacing w:line="259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91AEA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Уголовный</w:t>
            </w:r>
          </w:p>
          <w:p w14:paraId="53743236" w14:textId="4FDB8B3D" w:rsidR="00492CD0" w:rsidRPr="00C91AEA" w:rsidRDefault="00492CD0" w:rsidP="00492CD0">
            <w:pPr>
              <w:spacing w:line="259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(</w:t>
            </w:r>
            <w:r w:rsidRPr="00EF40FA">
              <w:rPr>
                <w:rFonts w:ascii="Calibri" w:eastAsia="Times New Roman" w:hAnsi="Calibri" w:cs="Times New Roman"/>
                <w:sz w:val="24"/>
                <w:szCs w:val="24"/>
              </w:rPr>
              <w:t>ч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 </w:t>
            </w:r>
            <w:r w:rsidRPr="00EF40FA">
              <w:rPr>
                <w:rFonts w:ascii="Calibri" w:eastAsia="Times New Roman" w:hAnsi="Calibri" w:cs="Times New Roman"/>
                <w:sz w:val="24"/>
                <w:szCs w:val="24"/>
              </w:rPr>
              <w:t>2 ст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 </w:t>
            </w:r>
            <w:r w:rsidRPr="00EF40FA">
              <w:rPr>
                <w:rFonts w:ascii="Calibri" w:eastAsia="Times New Roman" w:hAnsi="Calibri" w:cs="Times New Roman"/>
                <w:sz w:val="24"/>
                <w:szCs w:val="24"/>
              </w:rPr>
              <w:t>195 УПК РФ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</w:tc>
        <w:tc>
          <w:tcPr>
            <w:tcW w:w="7477" w:type="dxa"/>
          </w:tcPr>
          <w:p w14:paraId="77C2FC0C" w14:textId="6DA4B56D" w:rsidR="00492CD0" w:rsidRPr="008A2706" w:rsidRDefault="00492CD0" w:rsidP="00492CD0">
            <w:pPr>
              <w:pStyle w:val="a8"/>
              <w:numPr>
                <w:ilvl w:val="0"/>
                <w:numId w:val="7"/>
              </w:numPr>
              <w:spacing w:line="259" w:lineRule="auto"/>
              <w:ind w:left="318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A2706">
              <w:rPr>
                <w:rFonts w:ascii="Calibri" w:eastAsia="Times New Roman" w:hAnsi="Calibri" w:cs="Times New Roman"/>
                <w:sz w:val="24"/>
                <w:szCs w:val="24"/>
              </w:rPr>
              <w:t>государственным судебным экспертам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;</w:t>
            </w:r>
          </w:p>
          <w:p w14:paraId="0E4C502C" w14:textId="3AB4259A" w:rsidR="00492CD0" w:rsidRDefault="00492CD0" w:rsidP="00492CD0">
            <w:pPr>
              <w:pStyle w:val="a8"/>
              <w:numPr>
                <w:ilvl w:val="0"/>
                <w:numId w:val="7"/>
              </w:numPr>
              <w:spacing w:line="259" w:lineRule="auto"/>
              <w:ind w:left="318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A2706">
              <w:rPr>
                <w:rFonts w:ascii="Calibri" w:eastAsia="Times New Roman" w:hAnsi="Calibri" w:cs="Times New Roman"/>
                <w:sz w:val="24"/>
                <w:szCs w:val="24"/>
              </w:rPr>
              <w:t>ины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r w:rsidRPr="008A2706">
              <w:rPr>
                <w:rFonts w:ascii="Calibri" w:eastAsia="Times New Roman" w:hAnsi="Calibri" w:cs="Times New Roman"/>
                <w:sz w:val="24"/>
                <w:szCs w:val="24"/>
              </w:rPr>
              <w:t xml:space="preserve"> эксперт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ам</w:t>
            </w:r>
            <w:r w:rsidRPr="008A2706"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числа лиц, обладающих специальными знаниями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14:paraId="20AC6C8C" w14:textId="0A339809" w:rsidR="00492CD0" w:rsidRDefault="00492CD0" w:rsidP="00492CD0">
            <w:pPr>
              <w:pStyle w:val="a8"/>
              <w:numPr>
                <w:ilvl w:val="0"/>
                <w:numId w:val="10"/>
              </w:numPr>
              <w:tabs>
                <w:tab w:val="left" w:pos="1418"/>
              </w:tabs>
              <w:ind w:left="74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A2706">
              <w:rPr>
                <w:rFonts w:ascii="Calibri" w:eastAsia="Times New Roman" w:hAnsi="Calibri" w:cs="Times New Roman"/>
                <w:sz w:val="24"/>
                <w:szCs w:val="24"/>
              </w:rPr>
              <w:t>эксперт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ам</w:t>
            </w:r>
            <w:r w:rsidRPr="008A2706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негосударственных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судебно-экспертных учреждений;</w:t>
            </w:r>
          </w:p>
          <w:p w14:paraId="11CCF20E" w14:textId="5C0A7DD1" w:rsidR="00492CD0" w:rsidRPr="008A2706" w:rsidRDefault="00492CD0" w:rsidP="00492CD0">
            <w:pPr>
              <w:pStyle w:val="a8"/>
              <w:numPr>
                <w:ilvl w:val="0"/>
                <w:numId w:val="10"/>
              </w:numPr>
              <w:tabs>
                <w:tab w:val="left" w:pos="1418"/>
              </w:tabs>
              <w:ind w:left="74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A2706">
              <w:rPr>
                <w:rFonts w:ascii="Calibri" w:eastAsia="Times New Roman" w:hAnsi="Calibri" w:cs="Times New Roman"/>
                <w:sz w:val="24"/>
                <w:szCs w:val="24"/>
              </w:rPr>
              <w:t>лица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r w:rsidRPr="008A2706">
              <w:rPr>
                <w:rFonts w:ascii="Calibri" w:eastAsia="Times New Roman" w:hAnsi="Calibri" w:cs="Times New Roman"/>
                <w:sz w:val="24"/>
                <w:szCs w:val="24"/>
              </w:rPr>
              <w:t>, не работающи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r w:rsidRPr="008A2706">
              <w:rPr>
                <w:rFonts w:ascii="Calibri" w:eastAsia="Times New Roman" w:hAnsi="Calibri" w:cs="Times New Roman"/>
                <w:sz w:val="24"/>
                <w:szCs w:val="24"/>
              </w:rPr>
              <w:t xml:space="preserve"> в судебно-экспертных учреждениях.</w:t>
            </w:r>
          </w:p>
          <w:p w14:paraId="7E6EC997" w14:textId="04C55FE1" w:rsidR="00492CD0" w:rsidRPr="00276408" w:rsidRDefault="00492CD0" w:rsidP="00492CD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76408">
              <w:rPr>
                <w:rFonts w:ascii="Calibri" w:eastAsia="Times New Roman" w:hAnsi="Calibri" w:cs="Times New Roman"/>
                <w:sz w:val="24"/>
                <w:szCs w:val="24"/>
              </w:rPr>
              <w:t>Под негосударственными судебно-экспертными учреждениями следует понимать некоммерческие организации (некоммерческие партнерства, частные учреждения или автономные некоммерческие организации), созданные в соответствии с Г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К</w:t>
            </w:r>
            <w:r w:rsidRPr="00276408">
              <w:rPr>
                <w:rFonts w:ascii="Calibri" w:eastAsia="Times New Roman" w:hAnsi="Calibri" w:cs="Times New Roman"/>
                <w:sz w:val="24"/>
                <w:szCs w:val="24"/>
              </w:rPr>
              <w:t xml:space="preserve"> Р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Ф</w:t>
            </w:r>
            <w:r w:rsidRPr="00276408">
              <w:rPr>
                <w:rFonts w:ascii="Calibri" w:eastAsia="Times New Roman" w:hAnsi="Calibri" w:cs="Times New Roman"/>
                <w:sz w:val="24"/>
                <w:szCs w:val="24"/>
              </w:rPr>
              <w:t xml:space="preserve"> и Федеральным законом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«</w:t>
            </w:r>
            <w:r w:rsidRPr="00276408">
              <w:rPr>
                <w:rFonts w:ascii="Calibri" w:eastAsia="Times New Roman" w:hAnsi="Calibri" w:cs="Times New Roman"/>
                <w:sz w:val="24"/>
                <w:szCs w:val="24"/>
              </w:rPr>
              <w:t>О некоммерческих организациях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»</w:t>
            </w:r>
            <w:r w:rsidRPr="00276408">
              <w:rPr>
                <w:rFonts w:ascii="Calibri" w:eastAsia="Times New Roman" w:hAnsi="Calibri" w:cs="Times New Roman"/>
                <w:sz w:val="24"/>
                <w:szCs w:val="24"/>
              </w:rPr>
              <w:t>, осуществляющие судебно-экспертную деятельность в соответствии с принятыми ими уставами</w:t>
            </w:r>
            <w:r>
              <w:rPr>
                <w:rStyle w:val="af1"/>
                <w:rFonts w:ascii="Calibri" w:eastAsia="Times New Roman" w:hAnsi="Calibri" w:cs="Times New Roman"/>
                <w:sz w:val="24"/>
                <w:szCs w:val="24"/>
              </w:rPr>
              <w:footnoteReference w:id="6"/>
            </w:r>
            <w:r w:rsidRPr="00276408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14:paraId="2BB71B28" w14:textId="10EE01EB" w:rsidR="00492CD0" w:rsidRPr="00C91AEA" w:rsidRDefault="00492CD0" w:rsidP="00492CD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92364">
              <w:rPr>
                <w:rFonts w:ascii="Calibri" w:eastAsia="Times New Roman" w:hAnsi="Calibri" w:cs="Times New Roman"/>
                <w:sz w:val="24"/>
                <w:szCs w:val="24"/>
              </w:rPr>
              <w:t>Основания и критерии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выбора</w:t>
            </w:r>
            <w:r w:rsidRPr="00892364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</w:t>
            </w:r>
            <w:r w:rsidRPr="00A22B6E">
              <w:rPr>
                <w:rFonts w:ascii="Calibri" w:eastAsia="Times New Roman" w:hAnsi="Calibri" w:cs="Times New Roman"/>
                <w:sz w:val="24"/>
                <w:szCs w:val="24"/>
              </w:rPr>
              <w:t xml:space="preserve">ри поручении производства экспертизы лицу, не являющемуся государственным судебным экспертом, суду следует предварительно запросить сведения, касающиеся возможности производства данной экспертизы, а также сведения об эксперте, в том числе его </w:t>
            </w:r>
            <w:r w:rsidRPr="005F5152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фамилию, имя, отчество, образование, специальность, стаж работы в качестве судебного эксперта и иные данные</w:t>
            </w:r>
            <w:r w:rsidRPr="00A22B6E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r w:rsidRPr="005F5152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свидетельствующие </w:t>
            </w:r>
            <w:r w:rsidRPr="00CB7426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о его компетентности и надлежащей квалификации…</w:t>
            </w:r>
            <w:r w:rsidRPr="00CB7426">
              <w:rPr>
                <w:rStyle w:val="af1"/>
                <w:rFonts w:ascii="Calibri" w:eastAsia="Times New Roman" w:hAnsi="Calibri" w:cs="Times New Roman"/>
                <w:sz w:val="24"/>
                <w:szCs w:val="24"/>
              </w:rPr>
              <w:footnoteReference w:id="7"/>
            </w:r>
            <w:r w:rsidRPr="00CB7426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</w:tbl>
    <w:p w14:paraId="30252C84" w14:textId="268F9E19" w:rsidR="00F66467" w:rsidRDefault="00F66467" w:rsidP="007920FC">
      <w:pPr>
        <w:spacing w:after="0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4F69B9">
        <w:rPr>
          <w:rFonts w:ascii="Calibri" w:eastAsia="Times New Roman" w:hAnsi="Calibri" w:cs="Times New Roman"/>
          <w:b/>
          <w:sz w:val="24"/>
          <w:szCs w:val="24"/>
        </w:rPr>
        <w:t>1.</w:t>
      </w:r>
      <w:r w:rsidR="000F59AC">
        <w:rPr>
          <w:rFonts w:ascii="Calibri" w:eastAsia="Times New Roman" w:hAnsi="Calibri" w:cs="Times New Roman"/>
          <w:b/>
          <w:sz w:val="24"/>
          <w:szCs w:val="24"/>
        </w:rPr>
        <w:t>4</w:t>
      </w:r>
      <w:r w:rsidRPr="004F69B9">
        <w:rPr>
          <w:rFonts w:ascii="Calibri" w:eastAsia="Times New Roman" w:hAnsi="Calibri" w:cs="Times New Roman"/>
          <w:b/>
          <w:sz w:val="24"/>
          <w:szCs w:val="24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 xml:space="preserve"> К</w:t>
      </w:r>
      <w:r w:rsidRPr="00D96C44">
        <w:rPr>
          <w:rFonts w:ascii="Calibri" w:eastAsia="Times New Roman" w:hAnsi="Calibri" w:cs="Times New Roman"/>
          <w:sz w:val="24"/>
          <w:szCs w:val="24"/>
        </w:rPr>
        <w:t xml:space="preserve">валификация </w:t>
      </w:r>
      <w:r w:rsidR="00C32DA9">
        <w:rPr>
          <w:rFonts w:ascii="Calibri" w:eastAsia="Times New Roman" w:hAnsi="Calibri" w:cs="Times New Roman"/>
          <w:sz w:val="24"/>
          <w:szCs w:val="24"/>
        </w:rPr>
        <w:t>–</w:t>
      </w:r>
      <w:r w:rsidRPr="00D96C44">
        <w:rPr>
          <w:rFonts w:ascii="Calibri" w:eastAsia="Times New Roman" w:hAnsi="Calibri" w:cs="Times New Roman"/>
          <w:sz w:val="24"/>
          <w:szCs w:val="24"/>
        </w:rPr>
        <w:t xml:space="preserve"> уровень знаний, умений, навыков и компетенци</w:t>
      </w:r>
      <w:r w:rsidR="006B3B47">
        <w:rPr>
          <w:rFonts w:ascii="Calibri" w:eastAsia="Times New Roman" w:hAnsi="Calibri" w:cs="Times New Roman"/>
          <w:sz w:val="24"/>
          <w:szCs w:val="24"/>
        </w:rPr>
        <w:t>й</w:t>
      </w:r>
      <w:r w:rsidRPr="00D96C44">
        <w:rPr>
          <w:rFonts w:ascii="Calibri" w:eastAsia="Times New Roman" w:hAnsi="Calibri" w:cs="Times New Roman"/>
          <w:sz w:val="24"/>
          <w:szCs w:val="24"/>
        </w:rPr>
        <w:t>, характеризующий подготовленность к выполнению определенного вид</w:t>
      </w:r>
      <w:r>
        <w:rPr>
          <w:rFonts w:ascii="Calibri" w:eastAsia="Times New Roman" w:hAnsi="Calibri" w:cs="Times New Roman"/>
          <w:sz w:val="24"/>
          <w:szCs w:val="24"/>
        </w:rPr>
        <w:t>а профессиональной деятельности</w:t>
      </w:r>
      <w:r>
        <w:rPr>
          <w:rStyle w:val="af1"/>
          <w:rFonts w:ascii="Calibri" w:eastAsia="Times New Roman" w:hAnsi="Calibri" w:cs="Times New Roman"/>
          <w:sz w:val="24"/>
          <w:szCs w:val="24"/>
        </w:rPr>
        <w:footnoteReference w:id="8"/>
      </w:r>
      <w:r>
        <w:rPr>
          <w:rFonts w:ascii="Calibri" w:eastAsia="Times New Roman" w:hAnsi="Calibri" w:cs="Times New Roman"/>
          <w:sz w:val="24"/>
          <w:szCs w:val="24"/>
        </w:rPr>
        <w:t>.</w:t>
      </w:r>
    </w:p>
    <w:p w14:paraId="1D2990AF" w14:textId="1C920AF7" w:rsidR="00F66467" w:rsidRDefault="00F66467" w:rsidP="00C91AEA">
      <w:pPr>
        <w:spacing w:after="0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CB7426">
        <w:rPr>
          <w:rFonts w:ascii="Calibri" w:eastAsia="Times New Roman" w:hAnsi="Calibri" w:cs="Times New Roman"/>
          <w:sz w:val="24"/>
          <w:szCs w:val="24"/>
        </w:rPr>
        <w:t xml:space="preserve">Компетентность (наличие компетенций) </w:t>
      </w:r>
      <w:r>
        <w:rPr>
          <w:rFonts w:ascii="Calibri" w:eastAsia="Times New Roman" w:hAnsi="Calibri" w:cs="Times New Roman"/>
          <w:sz w:val="24"/>
          <w:szCs w:val="24"/>
        </w:rPr>
        <w:t xml:space="preserve">включает следующие </w:t>
      </w:r>
      <w:r w:rsidRPr="00CB7426">
        <w:rPr>
          <w:rFonts w:ascii="Calibri" w:eastAsia="Times New Roman" w:hAnsi="Calibri" w:cs="Times New Roman"/>
          <w:sz w:val="24"/>
          <w:szCs w:val="24"/>
        </w:rPr>
        <w:t>основные составляющие</w:t>
      </w:r>
      <w:r>
        <w:rPr>
          <w:rFonts w:ascii="Calibri" w:eastAsia="Times New Roman" w:hAnsi="Calibri" w:cs="Times New Roman"/>
          <w:sz w:val="24"/>
          <w:szCs w:val="24"/>
        </w:rPr>
        <w:t>:</w:t>
      </w:r>
      <w:r w:rsidRPr="00CB7426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знать, уметь, владеть (</w:t>
      </w:r>
      <w:r w:rsidRPr="00CB7426">
        <w:rPr>
          <w:rFonts w:ascii="Calibri" w:eastAsia="Times New Roman" w:hAnsi="Calibri" w:cs="Times New Roman"/>
          <w:sz w:val="24"/>
          <w:szCs w:val="24"/>
        </w:rPr>
        <w:t>способы деятельности</w:t>
      </w:r>
      <w:r>
        <w:rPr>
          <w:rFonts w:ascii="Calibri" w:eastAsia="Times New Roman" w:hAnsi="Calibri" w:cs="Times New Roman"/>
          <w:sz w:val="24"/>
          <w:szCs w:val="24"/>
        </w:rPr>
        <w:t>)</w:t>
      </w:r>
      <w:r w:rsidRPr="00CB7426">
        <w:rPr>
          <w:rStyle w:val="af1"/>
          <w:rFonts w:ascii="Calibri" w:eastAsia="Times New Roman" w:hAnsi="Calibri" w:cs="Times New Roman"/>
          <w:sz w:val="24"/>
          <w:szCs w:val="24"/>
        </w:rPr>
        <w:footnoteReference w:id="9"/>
      </w:r>
      <w:r w:rsidRPr="00CB7426">
        <w:rPr>
          <w:rFonts w:ascii="Calibri" w:eastAsia="Times New Roman" w:hAnsi="Calibri" w:cs="Times New Roman"/>
          <w:sz w:val="24"/>
          <w:szCs w:val="24"/>
        </w:rPr>
        <w:t>.</w:t>
      </w:r>
    </w:p>
    <w:p w14:paraId="0397B6E4" w14:textId="5D0843C3" w:rsidR="001B431D" w:rsidRDefault="008F661F" w:rsidP="00C91AEA">
      <w:pPr>
        <w:spacing w:before="120" w:after="0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4F69B9">
        <w:rPr>
          <w:rFonts w:ascii="Calibri" w:eastAsia="Times New Roman" w:hAnsi="Calibri" w:cs="Times New Roman"/>
          <w:b/>
          <w:sz w:val="24"/>
          <w:szCs w:val="24"/>
        </w:rPr>
        <w:t>1.</w:t>
      </w:r>
      <w:r w:rsidR="000F59AC">
        <w:rPr>
          <w:rFonts w:ascii="Calibri" w:eastAsia="Times New Roman" w:hAnsi="Calibri" w:cs="Times New Roman"/>
          <w:b/>
          <w:sz w:val="24"/>
          <w:szCs w:val="24"/>
        </w:rPr>
        <w:t>5</w:t>
      </w:r>
      <w:r w:rsidRPr="004F69B9">
        <w:rPr>
          <w:rFonts w:ascii="Calibri" w:eastAsia="Times New Roman" w:hAnsi="Calibri" w:cs="Times New Roman"/>
          <w:b/>
          <w:sz w:val="24"/>
          <w:szCs w:val="24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B431D">
        <w:rPr>
          <w:rFonts w:ascii="Calibri" w:eastAsia="Times New Roman" w:hAnsi="Calibri" w:cs="Times New Roman"/>
          <w:sz w:val="24"/>
          <w:szCs w:val="24"/>
        </w:rPr>
        <w:t xml:space="preserve">Критерии и методы </w:t>
      </w:r>
      <w:r w:rsidR="006E7228">
        <w:rPr>
          <w:rFonts w:ascii="Calibri" w:eastAsia="Times New Roman" w:hAnsi="Calibri" w:cs="Times New Roman"/>
          <w:sz w:val="24"/>
          <w:szCs w:val="24"/>
        </w:rPr>
        <w:t>оценки</w:t>
      </w:r>
      <w:r w:rsidR="001B431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E7228">
        <w:rPr>
          <w:rFonts w:ascii="Calibri" w:eastAsia="Times New Roman" w:hAnsi="Calibri" w:cs="Times New Roman"/>
          <w:sz w:val="24"/>
          <w:szCs w:val="24"/>
        </w:rPr>
        <w:t>квалификации</w:t>
      </w:r>
      <w:r w:rsidR="001B431D">
        <w:rPr>
          <w:rFonts w:ascii="Calibri" w:eastAsia="Times New Roman" w:hAnsi="Calibri" w:cs="Times New Roman"/>
          <w:sz w:val="24"/>
          <w:szCs w:val="24"/>
        </w:rPr>
        <w:t xml:space="preserve"> в законодательстве </w:t>
      </w:r>
      <w:r w:rsidR="006E7228">
        <w:rPr>
          <w:rFonts w:ascii="Calibri" w:eastAsia="Times New Roman" w:hAnsi="Calibri" w:cs="Times New Roman"/>
          <w:sz w:val="24"/>
          <w:szCs w:val="24"/>
        </w:rPr>
        <w:t xml:space="preserve">РФ </w:t>
      </w:r>
      <w:r w:rsidR="001B431D">
        <w:rPr>
          <w:rFonts w:ascii="Calibri" w:eastAsia="Times New Roman" w:hAnsi="Calibri" w:cs="Times New Roman"/>
          <w:sz w:val="24"/>
          <w:szCs w:val="24"/>
        </w:rPr>
        <w:t>не</w:t>
      </w:r>
      <w:r w:rsidR="00CD05F5">
        <w:rPr>
          <w:rFonts w:ascii="Calibri" w:eastAsia="Times New Roman" w:hAnsi="Calibri" w:cs="Times New Roman"/>
          <w:sz w:val="24"/>
          <w:szCs w:val="24"/>
        </w:rPr>
        <w:t> </w:t>
      </w:r>
      <w:r w:rsidR="009F4B05">
        <w:rPr>
          <w:rFonts w:ascii="Calibri" w:eastAsia="Times New Roman" w:hAnsi="Calibri" w:cs="Times New Roman"/>
          <w:sz w:val="24"/>
          <w:szCs w:val="24"/>
        </w:rPr>
        <w:t>раскрываются</w:t>
      </w:r>
      <w:r w:rsidR="006E7228">
        <w:rPr>
          <w:rFonts w:ascii="Calibri" w:eastAsia="Times New Roman" w:hAnsi="Calibri" w:cs="Times New Roman"/>
          <w:sz w:val="24"/>
          <w:szCs w:val="24"/>
        </w:rPr>
        <w:t>.</w:t>
      </w:r>
      <w:r w:rsidR="001B431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E7228">
        <w:rPr>
          <w:rFonts w:ascii="Calibri" w:eastAsia="Times New Roman" w:hAnsi="Calibri" w:cs="Times New Roman"/>
          <w:sz w:val="24"/>
          <w:szCs w:val="24"/>
        </w:rPr>
        <w:t>П</w:t>
      </w:r>
      <w:r w:rsidR="001B431D">
        <w:rPr>
          <w:rFonts w:ascii="Calibri" w:eastAsia="Times New Roman" w:hAnsi="Calibri" w:cs="Times New Roman"/>
          <w:sz w:val="24"/>
          <w:szCs w:val="24"/>
        </w:rPr>
        <w:t>ри этом</w:t>
      </w:r>
      <w:r w:rsidR="006E7228">
        <w:rPr>
          <w:rFonts w:ascii="Calibri" w:eastAsia="Times New Roman" w:hAnsi="Calibri" w:cs="Times New Roman"/>
          <w:sz w:val="24"/>
          <w:szCs w:val="24"/>
        </w:rPr>
        <w:t>,</w:t>
      </w:r>
      <w:r w:rsidR="001B431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E7228">
        <w:rPr>
          <w:rFonts w:ascii="Calibri" w:eastAsia="Times New Roman" w:hAnsi="Calibri" w:cs="Times New Roman"/>
          <w:sz w:val="24"/>
          <w:szCs w:val="24"/>
        </w:rPr>
        <w:t xml:space="preserve">например, </w:t>
      </w:r>
      <w:r w:rsidR="006E7228" w:rsidRPr="008F661F">
        <w:rPr>
          <w:rFonts w:ascii="Calibri" w:eastAsia="Times New Roman" w:hAnsi="Calibri" w:cs="Times New Roman"/>
          <w:sz w:val="24"/>
          <w:szCs w:val="24"/>
        </w:rPr>
        <w:t>по смыслу норм федерального закона</w:t>
      </w:r>
      <w:r w:rsidR="006E7228">
        <w:rPr>
          <w:rStyle w:val="af1"/>
          <w:rFonts w:ascii="Calibri" w:eastAsia="Times New Roman" w:hAnsi="Calibri" w:cs="Times New Roman"/>
          <w:sz w:val="24"/>
          <w:szCs w:val="24"/>
        </w:rPr>
        <w:footnoteReference w:id="10"/>
      </w:r>
      <w:r w:rsidR="006E7228" w:rsidRPr="008F661F">
        <w:rPr>
          <w:rFonts w:ascii="Calibri" w:eastAsia="Times New Roman" w:hAnsi="Calibri" w:cs="Times New Roman"/>
          <w:sz w:val="24"/>
          <w:szCs w:val="24"/>
        </w:rPr>
        <w:t xml:space="preserve"> и Правил</w:t>
      </w:r>
      <w:r w:rsidR="006E7228">
        <w:rPr>
          <w:rStyle w:val="af1"/>
          <w:rFonts w:ascii="Calibri" w:eastAsia="Times New Roman" w:hAnsi="Calibri" w:cs="Times New Roman"/>
          <w:sz w:val="24"/>
          <w:szCs w:val="24"/>
        </w:rPr>
        <w:footnoteReference w:id="11"/>
      </w:r>
      <w:r w:rsidR="006E722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B431D" w:rsidRPr="00467710">
        <w:rPr>
          <w:rFonts w:ascii="Calibri" w:eastAsia="Times New Roman" w:hAnsi="Calibri" w:cs="Times New Roman"/>
          <w:sz w:val="24"/>
          <w:szCs w:val="24"/>
        </w:rPr>
        <w:t>квалификация участников закупки</w:t>
      </w:r>
      <w:r w:rsidR="006E7228" w:rsidRPr="006E722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E7228">
        <w:rPr>
          <w:rFonts w:ascii="Calibri" w:eastAsia="Times New Roman" w:hAnsi="Calibri" w:cs="Times New Roman"/>
          <w:sz w:val="24"/>
          <w:szCs w:val="24"/>
        </w:rPr>
        <w:t xml:space="preserve">как </w:t>
      </w:r>
      <w:proofErr w:type="spellStart"/>
      <w:r w:rsidR="006E7228" w:rsidRPr="00467710">
        <w:rPr>
          <w:rFonts w:ascii="Calibri" w:eastAsia="Times New Roman" w:hAnsi="Calibri" w:cs="Times New Roman"/>
          <w:sz w:val="24"/>
          <w:szCs w:val="24"/>
        </w:rPr>
        <w:t>нестоимостн</w:t>
      </w:r>
      <w:r w:rsidR="006E7228">
        <w:rPr>
          <w:rFonts w:ascii="Calibri" w:eastAsia="Times New Roman" w:hAnsi="Calibri" w:cs="Times New Roman"/>
          <w:sz w:val="24"/>
          <w:szCs w:val="24"/>
        </w:rPr>
        <w:t>ой</w:t>
      </w:r>
      <w:proofErr w:type="spellEnd"/>
      <w:r w:rsidR="006E7228">
        <w:rPr>
          <w:rFonts w:ascii="Calibri" w:eastAsia="Times New Roman" w:hAnsi="Calibri" w:cs="Times New Roman"/>
          <w:sz w:val="24"/>
          <w:szCs w:val="24"/>
        </w:rPr>
        <w:t xml:space="preserve"> критерий оценки (показатель)</w:t>
      </w:r>
      <w:r w:rsidR="001B431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E7228">
        <w:rPr>
          <w:rFonts w:ascii="Calibri" w:eastAsia="Times New Roman" w:hAnsi="Calibri" w:cs="Times New Roman"/>
          <w:sz w:val="24"/>
          <w:szCs w:val="24"/>
        </w:rPr>
        <w:t>подразумевает под собой наличие:</w:t>
      </w:r>
    </w:p>
    <w:p w14:paraId="3901EFAD" w14:textId="0C70C609" w:rsidR="006E7228" w:rsidRDefault="001B431D" w:rsidP="00C91AEA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6E7228">
        <w:rPr>
          <w:rFonts w:ascii="Calibri" w:eastAsia="Times New Roman" w:hAnsi="Calibri" w:cs="Times New Roman"/>
          <w:sz w:val="24"/>
          <w:szCs w:val="24"/>
        </w:rPr>
        <w:t>финансовых ресурсов</w:t>
      </w:r>
      <w:r w:rsidR="00624AA0">
        <w:rPr>
          <w:rFonts w:ascii="Calibri" w:eastAsia="Times New Roman" w:hAnsi="Calibri" w:cs="Times New Roman"/>
          <w:sz w:val="24"/>
          <w:szCs w:val="24"/>
        </w:rPr>
        <w:t>;</w:t>
      </w:r>
    </w:p>
    <w:p w14:paraId="1C2290E0" w14:textId="5D6A01F0" w:rsidR="006E7228" w:rsidRPr="006E7228" w:rsidRDefault="001B431D" w:rsidP="00C91AEA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6E7228">
        <w:rPr>
          <w:rFonts w:ascii="Calibri" w:eastAsia="Times New Roman" w:hAnsi="Calibri" w:cs="Times New Roman"/>
          <w:sz w:val="24"/>
          <w:szCs w:val="24"/>
        </w:rPr>
        <w:t>оборудования и других материальных ресурсов, принадлежащих на праве собственности или на ином законном основании</w:t>
      </w:r>
      <w:r w:rsidR="00624AA0">
        <w:rPr>
          <w:rFonts w:ascii="Calibri" w:eastAsia="Times New Roman" w:hAnsi="Calibri" w:cs="Times New Roman"/>
          <w:sz w:val="24"/>
          <w:szCs w:val="24"/>
        </w:rPr>
        <w:t>;</w:t>
      </w:r>
    </w:p>
    <w:p w14:paraId="3A792808" w14:textId="46D936A5" w:rsidR="006E7228" w:rsidRDefault="001B431D" w:rsidP="00C91AEA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467710">
        <w:rPr>
          <w:rFonts w:ascii="Calibri" w:eastAsia="Times New Roman" w:hAnsi="Calibri" w:cs="Times New Roman"/>
          <w:sz w:val="24"/>
          <w:szCs w:val="24"/>
        </w:rPr>
        <w:t>опыт</w:t>
      </w:r>
      <w:r w:rsidR="006E7228">
        <w:rPr>
          <w:rFonts w:ascii="Calibri" w:eastAsia="Times New Roman" w:hAnsi="Calibri" w:cs="Times New Roman"/>
          <w:sz w:val="24"/>
          <w:szCs w:val="24"/>
        </w:rPr>
        <w:t>а</w:t>
      </w:r>
      <w:r w:rsidRPr="00467710">
        <w:rPr>
          <w:rFonts w:ascii="Calibri" w:eastAsia="Times New Roman" w:hAnsi="Calibri" w:cs="Times New Roman"/>
          <w:sz w:val="24"/>
          <w:szCs w:val="24"/>
        </w:rPr>
        <w:t xml:space="preserve"> работы, связанн</w:t>
      </w:r>
      <w:r w:rsidR="006E7228">
        <w:rPr>
          <w:rFonts w:ascii="Calibri" w:eastAsia="Times New Roman" w:hAnsi="Calibri" w:cs="Times New Roman"/>
          <w:sz w:val="24"/>
          <w:szCs w:val="24"/>
        </w:rPr>
        <w:t xml:space="preserve">ого </w:t>
      </w:r>
      <w:r w:rsidRPr="00467710">
        <w:rPr>
          <w:rFonts w:ascii="Calibri" w:eastAsia="Times New Roman" w:hAnsi="Calibri" w:cs="Times New Roman"/>
          <w:sz w:val="24"/>
          <w:szCs w:val="24"/>
        </w:rPr>
        <w:t>с предметом контракта</w:t>
      </w:r>
      <w:r w:rsidR="00624AA0">
        <w:rPr>
          <w:rFonts w:ascii="Calibri" w:eastAsia="Times New Roman" w:hAnsi="Calibri" w:cs="Times New Roman"/>
          <w:sz w:val="24"/>
          <w:szCs w:val="24"/>
        </w:rPr>
        <w:t>;</w:t>
      </w:r>
    </w:p>
    <w:p w14:paraId="4C1866A9" w14:textId="16122558" w:rsidR="006E7228" w:rsidRDefault="001B431D" w:rsidP="00C91AEA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467710">
        <w:rPr>
          <w:rFonts w:ascii="Calibri" w:eastAsia="Times New Roman" w:hAnsi="Calibri" w:cs="Times New Roman"/>
          <w:sz w:val="24"/>
          <w:szCs w:val="24"/>
        </w:rPr>
        <w:lastRenderedPageBreak/>
        <w:t>делов</w:t>
      </w:r>
      <w:r w:rsidR="006E7228">
        <w:rPr>
          <w:rFonts w:ascii="Calibri" w:eastAsia="Times New Roman" w:hAnsi="Calibri" w:cs="Times New Roman"/>
          <w:sz w:val="24"/>
          <w:szCs w:val="24"/>
        </w:rPr>
        <w:t xml:space="preserve">ой </w:t>
      </w:r>
      <w:r w:rsidRPr="00467710">
        <w:rPr>
          <w:rFonts w:ascii="Calibri" w:eastAsia="Times New Roman" w:hAnsi="Calibri" w:cs="Times New Roman"/>
          <w:sz w:val="24"/>
          <w:szCs w:val="24"/>
        </w:rPr>
        <w:t>репутаци</w:t>
      </w:r>
      <w:r w:rsidR="006E7228">
        <w:rPr>
          <w:rFonts w:ascii="Calibri" w:eastAsia="Times New Roman" w:hAnsi="Calibri" w:cs="Times New Roman"/>
          <w:sz w:val="24"/>
          <w:szCs w:val="24"/>
        </w:rPr>
        <w:t>и</w:t>
      </w:r>
      <w:r w:rsidR="00624AA0">
        <w:rPr>
          <w:rFonts w:ascii="Calibri" w:eastAsia="Times New Roman" w:hAnsi="Calibri" w:cs="Times New Roman"/>
          <w:sz w:val="24"/>
          <w:szCs w:val="24"/>
        </w:rPr>
        <w:t>;</w:t>
      </w:r>
    </w:p>
    <w:p w14:paraId="354B6BA3" w14:textId="5F274845" w:rsidR="001B431D" w:rsidRDefault="001B431D" w:rsidP="00C91AEA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467710">
        <w:rPr>
          <w:rFonts w:ascii="Calibri" w:eastAsia="Times New Roman" w:hAnsi="Calibri" w:cs="Times New Roman"/>
          <w:sz w:val="24"/>
          <w:szCs w:val="24"/>
        </w:rPr>
        <w:t>специалистов и иных работников определенного уровня квалификации.</w:t>
      </w:r>
    </w:p>
    <w:p w14:paraId="6201DAF0" w14:textId="4D58342D" w:rsidR="00B97E8E" w:rsidRPr="007C26CE" w:rsidRDefault="007C26CE" w:rsidP="006B01C8">
      <w:pPr>
        <w:spacing w:before="120" w:after="0"/>
        <w:ind w:firstLine="708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6B01C8">
        <w:rPr>
          <w:rFonts w:ascii="Calibri" w:eastAsia="Times New Roman" w:hAnsi="Calibri" w:cs="Times New Roman"/>
          <w:bCs/>
          <w:sz w:val="24"/>
          <w:szCs w:val="24"/>
        </w:rPr>
        <w:t>Соотношение з</w:t>
      </w:r>
      <w:r w:rsidR="00B97E8E" w:rsidRPr="006B01C8">
        <w:rPr>
          <w:rFonts w:ascii="Calibri" w:eastAsia="Times New Roman" w:hAnsi="Calibri" w:cs="Times New Roman"/>
          <w:bCs/>
          <w:sz w:val="24"/>
          <w:szCs w:val="24"/>
        </w:rPr>
        <w:t>начимост</w:t>
      </w:r>
      <w:r w:rsidRPr="006B01C8">
        <w:rPr>
          <w:rFonts w:ascii="Calibri" w:eastAsia="Times New Roman" w:hAnsi="Calibri" w:cs="Times New Roman"/>
          <w:bCs/>
          <w:sz w:val="24"/>
          <w:szCs w:val="24"/>
        </w:rPr>
        <w:t>и</w:t>
      </w:r>
      <w:r w:rsidR="00B97E8E" w:rsidRPr="006B01C8">
        <w:rPr>
          <w:rFonts w:ascii="Calibri" w:eastAsia="Times New Roman" w:hAnsi="Calibri" w:cs="Times New Roman"/>
          <w:bCs/>
          <w:sz w:val="24"/>
          <w:szCs w:val="24"/>
        </w:rPr>
        <w:t xml:space="preserve"> критери</w:t>
      </w:r>
      <w:r w:rsidRPr="006B01C8">
        <w:rPr>
          <w:rFonts w:ascii="Calibri" w:eastAsia="Times New Roman" w:hAnsi="Calibri" w:cs="Times New Roman"/>
          <w:bCs/>
          <w:sz w:val="24"/>
          <w:szCs w:val="24"/>
        </w:rPr>
        <w:t>ев оценки при закупке услуг по проведению экспертизы следующее</w:t>
      </w:r>
      <w:r w:rsidR="006B01C8" w:rsidRPr="006B01C8">
        <w:rPr>
          <w:rFonts w:ascii="Calibri" w:eastAsia="Times New Roman" w:hAnsi="Calibri" w:cs="Times New Roman"/>
          <w:bCs/>
          <w:sz w:val="24"/>
          <w:szCs w:val="24"/>
        </w:rPr>
        <w:t xml:space="preserve">: </w:t>
      </w:r>
      <w:proofErr w:type="spellStart"/>
      <w:r w:rsidRPr="006B01C8">
        <w:rPr>
          <w:rFonts w:ascii="Calibri" w:eastAsia="Times New Roman" w:hAnsi="Calibri" w:cs="Times New Roman"/>
          <w:bCs/>
          <w:sz w:val="24"/>
          <w:szCs w:val="24"/>
        </w:rPr>
        <w:t>нестоимостной</w:t>
      </w:r>
      <w:proofErr w:type="spellEnd"/>
      <w:r w:rsidRPr="006B01C8">
        <w:rPr>
          <w:rFonts w:ascii="Calibri" w:eastAsia="Times New Roman" w:hAnsi="Calibri" w:cs="Times New Roman"/>
          <w:bCs/>
          <w:sz w:val="24"/>
          <w:szCs w:val="24"/>
        </w:rPr>
        <w:t xml:space="preserve"> (</w:t>
      </w:r>
      <w:r w:rsidR="00B97E8E" w:rsidRPr="006B01C8">
        <w:rPr>
          <w:rFonts w:ascii="Calibri" w:eastAsia="Times New Roman" w:hAnsi="Calibri" w:cs="Times New Roman"/>
          <w:bCs/>
          <w:sz w:val="24"/>
          <w:szCs w:val="24"/>
        </w:rPr>
        <w:t>квалификация</w:t>
      </w:r>
      <w:r w:rsidRPr="006B01C8">
        <w:rPr>
          <w:rFonts w:ascii="Calibri" w:eastAsia="Times New Roman" w:hAnsi="Calibri" w:cs="Times New Roman"/>
          <w:bCs/>
          <w:sz w:val="24"/>
          <w:szCs w:val="24"/>
        </w:rPr>
        <w:t>)</w:t>
      </w:r>
      <w:r w:rsidR="00B97E8E" w:rsidRPr="006B01C8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Pr="006B01C8">
        <w:rPr>
          <w:rFonts w:ascii="Calibri" w:eastAsia="Times New Roman" w:hAnsi="Calibri" w:cs="Times New Roman"/>
          <w:bCs/>
          <w:sz w:val="24"/>
          <w:szCs w:val="24"/>
        </w:rPr>
        <w:t>-</w:t>
      </w:r>
      <w:r w:rsidR="00B97E8E" w:rsidRPr="006B01C8">
        <w:rPr>
          <w:rFonts w:ascii="Calibri" w:eastAsia="Times New Roman" w:hAnsi="Calibri" w:cs="Times New Roman"/>
          <w:bCs/>
          <w:sz w:val="24"/>
          <w:szCs w:val="24"/>
        </w:rPr>
        <w:t xml:space="preserve"> 70 </w:t>
      </w:r>
      <w:r w:rsidRPr="006B01C8">
        <w:rPr>
          <w:rFonts w:ascii="Calibri" w:eastAsia="Times New Roman" w:hAnsi="Calibri" w:cs="Times New Roman"/>
          <w:bCs/>
          <w:sz w:val="24"/>
          <w:szCs w:val="24"/>
        </w:rPr>
        <w:t>%</w:t>
      </w:r>
      <w:r w:rsidR="00B97E8E" w:rsidRPr="006B01C8">
        <w:rPr>
          <w:rFonts w:ascii="Calibri" w:eastAsia="Times New Roman" w:hAnsi="Calibri" w:cs="Times New Roman"/>
          <w:bCs/>
          <w:sz w:val="24"/>
          <w:szCs w:val="24"/>
        </w:rPr>
        <w:t>, стоимостно</w:t>
      </w:r>
      <w:r w:rsidRPr="006B01C8">
        <w:rPr>
          <w:rFonts w:ascii="Calibri" w:eastAsia="Times New Roman" w:hAnsi="Calibri" w:cs="Times New Roman"/>
          <w:bCs/>
          <w:sz w:val="24"/>
          <w:szCs w:val="24"/>
        </w:rPr>
        <w:t>й</w:t>
      </w:r>
      <w:r w:rsidR="00B97E8E" w:rsidRPr="006B01C8">
        <w:rPr>
          <w:rFonts w:ascii="Calibri" w:eastAsia="Times New Roman" w:hAnsi="Calibri" w:cs="Times New Roman"/>
          <w:bCs/>
          <w:sz w:val="24"/>
          <w:szCs w:val="24"/>
        </w:rPr>
        <w:t xml:space="preserve"> (цена контракта) – 30 </w:t>
      </w:r>
      <w:r w:rsidRPr="006B01C8">
        <w:rPr>
          <w:rFonts w:ascii="Calibri" w:eastAsia="Times New Roman" w:hAnsi="Calibri" w:cs="Times New Roman"/>
          <w:bCs/>
          <w:sz w:val="24"/>
          <w:szCs w:val="24"/>
        </w:rPr>
        <w:t>%</w:t>
      </w:r>
      <w:r w:rsidR="00B97E8E" w:rsidRPr="006B01C8">
        <w:rPr>
          <w:rStyle w:val="af1"/>
          <w:rFonts w:ascii="Calibri" w:eastAsia="Times New Roman" w:hAnsi="Calibri" w:cs="Times New Roman"/>
          <w:bCs/>
          <w:sz w:val="24"/>
          <w:szCs w:val="24"/>
        </w:rPr>
        <w:footnoteReference w:id="12"/>
      </w:r>
      <w:r w:rsidR="00050707">
        <w:rPr>
          <w:rFonts w:ascii="Calibri" w:eastAsia="Times New Roman" w:hAnsi="Calibri" w:cs="Times New Roman"/>
          <w:bCs/>
          <w:sz w:val="24"/>
          <w:szCs w:val="24"/>
        </w:rPr>
        <w:t xml:space="preserve">, то есть </w:t>
      </w:r>
      <w:r w:rsidR="009D4441">
        <w:rPr>
          <w:rFonts w:ascii="Calibri" w:eastAsia="Times New Roman" w:hAnsi="Calibri" w:cs="Times New Roman"/>
          <w:bCs/>
          <w:sz w:val="24"/>
          <w:szCs w:val="24"/>
        </w:rPr>
        <w:t>устанавливается</w:t>
      </w:r>
      <w:r w:rsidR="00050707">
        <w:rPr>
          <w:rFonts w:ascii="Calibri" w:eastAsia="Times New Roman" w:hAnsi="Calibri" w:cs="Times New Roman"/>
          <w:bCs/>
          <w:sz w:val="24"/>
          <w:szCs w:val="24"/>
        </w:rPr>
        <w:t xml:space="preserve"> приоритет </w:t>
      </w:r>
      <w:proofErr w:type="spellStart"/>
      <w:r w:rsidR="00050707">
        <w:rPr>
          <w:rFonts w:ascii="Calibri" w:eastAsia="Times New Roman" w:hAnsi="Calibri" w:cs="Times New Roman"/>
          <w:bCs/>
          <w:sz w:val="24"/>
          <w:szCs w:val="24"/>
        </w:rPr>
        <w:t>нестоимостных</w:t>
      </w:r>
      <w:proofErr w:type="spellEnd"/>
      <w:r w:rsidR="00050707">
        <w:rPr>
          <w:rFonts w:ascii="Calibri" w:eastAsia="Times New Roman" w:hAnsi="Calibri" w:cs="Times New Roman"/>
          <w:bCs/>
          <w:sz w:val="24"/>
          <w:szCs w:val="24"/>
        </w:rPr>
        <w:t xml:space="preserve"> критериев над фактором предлагаемой цены</w:t>
      </w:r>
      <w:r w:rsidR="00BE1B90">
        <w:rPr>
          <w:rFonts w:ascii="Calibri" w:eastAsia="Times New Roman" w:hAnsi="Calibri" w:cs="Times New Roman"/>
          <w:bCs/>
          <w:sz w:val="24"/>
          <w:szCs w:val="24"/>
        </w:rPr>
        <w:t>.</w:t>
      </w:r>
    </w:p>
    <w:p w14:paraId="4A5D5E46" w14:textId="5B651A7E" w:rsidR="0011252E" w:rsidRPr="0011252E" w:rsidRDefault="0011252E" w:rsidP="00F85630">
      <w:pPr>
        <w:spacing w:before="120" w:after="0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11252E">
        <w:rPr>
          <w:rFonts w:ascii="Calibri" w:eastAsia="Times New Roman" w:hAnsi="Calibri" w:cs="Times New Roman"/>
          <w:b/>
          <w:sz w:val="24"/>
          <w:szCs w:val="24"/>
        </w:rPr>
        <w:t>1.</w:t>
      </w:r>
      <w:r w:rsidR="000F59AC">
        <w:rPr>
          <w:rFonts w:ascii="Calibri" w:eastAsia="Times New Roman" w:hAnsi="Calibri" w:cs="Times New Roman"/>
          <w:b/>
          <w:sz w:val="24"/>
          <w:szCs w:val="24"/>
        </w:rPr>
        <w:t>6</w:t>
      </w:r>
      <w:r w:rsidRPr="0011252E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11252E">
        <w:rPr>
          <w:rFonts w:ascii="Calibri" w:eastAsia="Times New Roman" w:hAnsi="Calibri" w:cs="Times New Roman"/>
          <w:sz w:val="24"/>
          <w:szCs w:val="24"/>
        </w:rPr>
        <w:t xml:space="preserve"> Помимо </w:t>
      </w:r>
      <w:r w:rsidR="00624AA0">
        <w:rPr>
          <w:rFonts w:ascii="Calibri" w:eastAsia="Times New Roman" w:hAnsi="Calibri" w:cs="Times New Roman"/>
          <w:sz w:val="24"/>
          <w:szCs w:val="24"/>
        </w:rPr>
        <w:t xml:space="preserve">судопроизводства </w:t>
      </w:r>
      <w:r w:rsidRPr="0011252E">
        <w:rPr>
          <w:rFonts w:ascii="Calibri" w:eastAsia="Times New Roman" w:hAnsi="Calibri" w:cs="Times New Roman"/>
          <w:sz w:val="24"/>
          <w:szCs w:val="24"/>
        </w:rPr>
        <w:t xml:space="preserve">налоговые органы </w:t>
      </w:r>
      <w:r w:rsidR="00624AA0" w:rsidRPr="0011252E">
        <w:rPr>
          <w:rFonts w:ascii="Calibri" w:eastAsia="Times New Roman" w:hAnsi="Calibri" w:cs="Times New Roman"/>
          <w:sz w:val="24"/>
          <w:szCs w:val="24"/>
        </w:rPr>
        <w:t xml:space="preserve">в необходимых случаях </w:t>
      </w:r>
      <w:r w:rsidR="00624AA0">
        <w:rPr>
          <w:rFonts w:ascii="Calibri" w:eastAsia="Times New Roman" w:hAnsi="Calibri" w:cs="Times New Roman"/>
          <w:sz w:val="24"/>
          <w:szCs w:val="24"/>
        </w:rPr>
        <w:t xml:space="preserve">могут привлекать </w:t>
      </w:r>
      <w:r w:rsidRPr="0011252E">
        <w:rPr>
          <w:rFonts w:ascii="Calibri" w:eastAsia="Times New Roman" w:hAnsi="Calibri" w:cs="Times New Roman"/>
          <w:sz w:val="24"/>
          <w:szCs w:val="24"/>
        </w:rPr>
        <w:t>на договорной основе экспертов для участия в проведении конкретных действий по осуществлению налогового контроля. Данная внесудебная экспертиза назначается в случае, если для разъяснения возникающих вопросов требуются специальные познания в науке, искусстве, технике или ремесле (ст. 95 НК РФ).</w:t>
      </w:r>
      <w:r w:rsidR="00C32DA9">
        <w:rPr>
          <w:rFonts w:ascii="Calibri" w:eastAsia="Times New Roman" w:hAnsi="Calibri" w:cs="Times New Roman"/>
          <w:sz w:val="24"/>
          <w:szCs w:val="24"/>
        </w:rPr>
        <w:t xml:space="preserve"> При этом:</w:t>
      </w:r>
    </w:p>
    <w:p w14:paraId="7AF67C24" w14:textId="022919DB" w:rsidR="0011252E" w:rsidRPr="0011252E" w:rsidRDefault="00C32DA9" w:rsidP="00C91AEA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э</w:t>
      </w:r>
      <w:r w:rsidR="0011252E" w:rsidRPr="0011252E">
        <w:rPr>
          <w:rFonts w:ascii="Calibri" w:eastAsia="Times New Roman" w:hAnsi="Calibri" w:cs="Times New Roman"/>
          <w:sz w:val="24"/>
          <w:szCs w:val="24"/>
        </w:rPr>
        <w:t>кспертизу рыночной стоимости пре</w:t>
      </w:r>
      <w:r>
        <w:rPr>
          <w:rFonts w:ascii="Calibri" w:eastAsia="Times New Roman" w:hAnsi="Calibri" w:cs="Times New Roman"/>
          <w:sz w:val="24"/>
          <w:szCs w:val="24"/>
        </w:rPr>
        <w:t>дмета контролируемой сделки (по </w:t>
      </w:r>
      <w:r w:rsidR="0011252E" w:rsidRPr="0011252E">
        <w:rPr>
          <w:rFonts w:ascii="Calibri" w:eastAsia="Times New Roman" w:hAnsi="Calibri" w:cs="Times New Roman"/>
          <w:sz w:val="24"/>
          <w:szCs w:val="24"/>
        </w:rPr>
        <w:t>спорам, связанным с применением раздела V.1 НК РФ) может провести лишь профессиональный оценщик</w:t>
      </w:r>
      <w:r w:rsidR="0011252E">
        <w:rPr>
          <w:rStyle w:val="af1"/>
          <w:rFonts w:ascii="Calibri" w:eastAsia="Times New Roman" w:hAnsi="Calibri" w:cs="Times New Roman"/>
          <w:sz w:val="24"/>
          <w:szCs w:val="24"/>
        </w:rPr>
        <w:footnoteReference w:id="13"/>
      </w:r>
      <w:r>
        <w:rPr>
          <w:rFonts w:ascii="Calibri" w:eastAsia="Times New Roman" w:hAnsi="Calibri" w:cs="Times New Roman"/>
          <w:sz w:val="24"/>
          <w:szCs w:val="24"/>
        </w:rPr>
        <w:t>;</w:t>
      </w:r>
    </w:p>
    <w:p w14:paraId="5D0573AD" w14:textId="6A829A4C" w:rsidR="0011252E" w:rsidRPr="0011252E" w:rsidRDefault="00C32DA9" w:rsidP="00C91AEA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н</w:t>
      </w:r>
      <w:r w:rsidR="0011252E" w:rsidRPr="0011252E">
        <w:rPr>
          <w:rFonts w:ascii="Calibri" w:eastAsia="Times New Roman" w:hAnsi="Calibri" w:cs="Times New Roman"/>
          <w:sz w:val="24"/>
          <w:szCs w:val="24"/>
        </w:rPr>
        <w:t>азначение экспертизы, выбор эксперта/экспертной организации в ходе налоговой проверки предоставляет полное право налоговому органу</w:t>
      </w:r>
      <w:r w:rsidR="0011252E" w:rsidRPr="00614CCB">
        <w:t xml:space="preserve"> </w:t>
      </w:r>
      <w:r w:rsidR="0011252E" w:rsidRPr="0011252E">
        <w:rPr>
          <w:rFonts w:ascii="Calibri" w:eastAsia="Times New Roman" w:hAnsi="Calibri" w:cs="Times New Roman"/>
          <w:sz w:val="24"/>
          <w:szCs w:val="24"/>
        </w:rPr>
        <w:t>действовать по своему усмотрению. Ограничения установлены только при заявлении налогоплательщиком отвода эксперта.</w:t>
      </w:r>
    </w:p>
    <w:p w14:paraId="3CE9724B" w14:textId="38D3FDF2" w:rsidR="00441D0B" w:rsidRPr="0011252E" w:rsidRDefault="00076FC8" w:rsidP="00C91AEA">
      <w:pPr>
        <w:keepNext/>
        <w:keepLines/>
        <w:spacing w:before="360" w:after="0" w:line="276" w:lineRule="auto"/>
        <w:jc w:val="center"/>
        <w:outlineLvl w:val="0"/>
        <w:rPr>
          <w:rFonts w:eastAsia="Times New Roman"/>
          <w:caps/>
        </w:rPr>
      </w:pPr>
      <w:bookmarkStart w:id="2" w:name="_Toc6586453"/>
      <w:r w:rsidRPr="0011252E">
        <w:rPr>
          <w:rFonts w:eastAsia="Times New Roman" w:cstheme="majorBidi"/>
          <w:b/>
          <w:bCs/>
          <w:caps/>
          <w:sz w:val="28"/>
          <w:szCs w:val="28"/>
          <w:lang w:eastAsia="ru-RU"/>
        </w:rPr>
        <w:t>2</w:t>
      </w:r>
      <w:r w:rsidR="00091BCB" w:rsidRPr="0011252E">
        <w:rPr>
          <w:rFonts w:eastAsia="Times New Roman" w:cstheme="majorBidi"/>
          <w:b/>
          <w:bCs/>
          <w:caps/>
          <w:sz w:val="28"/>
          <w:szCs w:val="28"/>
          <w:lang w:eastAsia="ru-RU"/>
        </w:rPr>
        <w:t xml:space="preserve">. </w:t>
      </w:r>
      <w:bookmarkEnd w:id="1"/>
      <w:r w:rsidR="003571D7" w:rsidRPr="0011252E">
        <w:rPr>
          <w:rFonts w:eastAsia="Times New Roman" w:cstheme="majorBidi"/>
          <w:b/>
          <w:bCs/>
          <w:caps/>
          <w:sz w:val="28"/>
          <w:szCs w:val="28"/>
          <w:lang w:eastAsia="ru-RU"/>
        </w:rPr>
        <w:t>критери</w:t>
      </w:r>
      <w:bookmarkEnd w:id="2"/>
      <w:r w:rsidR="00CB7426" w:rsidRPr="0011252E">
        <w:rPr>
          <w:rFonts w:eastAsia="Times New Roman" w:cstheme="majorBidi"/>
          <w:b/>
          <w:bCs/>
          <w:caps/>
          <w:sz w:val="28"/>
          <w:szCs w:val="28"/>
          <w:lang w:eastAsia="ru-RU"/>
        </w:rPr>
        <w:t>и</w:t>
      </w:r>
      <w:r w:rsidR="002D244B" w:rsidRPr="0011252E">
        <w:rPr>
          <w:rFonts w:eastAsia="Times New Roman" w:cstheme="majorBidi"/>
          <w:b/>
          <w:bCs/>
          <w:caps/>
          <w:sz w:val="28"/>
          <w:szCs w:val="28"/>
          <w:lang w:eastAsia="ru-RU"/>
        </w:rPr>
        <w:t xml:space="preserve"> ВЫБОРА</w:t>
      </w:r>
      <w:r w:rsidR="00CB7426" w:rsidRPr="0011252E">
        <w:rPr>
          <w:rFonts w:eastAsia="Times New Roman" w:cstheme="majorBidi"/>
          <w:b/>
          <w:bCs/>
          <w:caps/>
          <w:sz w:val="28"/>
          <w:szCs w:val="28"/>
          <w:lang w:eastAsia="ru-RU"/>
        </w:rPr>
        <w:t xml:space="preserve"> экспертной организации</w:t>
      </w:r>
    </w:p>
    <w:p w14:paraId="0F900269" w14:textId="4D674AE8" w:rsidR="004352F8" w:rsidRDefault="004352F8" w:rsidP="00C91AEA">
      <w:pPr>
        <w:spacing w:before="120" w:after="0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7B5F76">
        <w:rPr>
          <w:rFonts w:ascii="Calibri" w:eastAsia="Times New Roman" w:hAnsi="Calibri" w:cs="Times New Roman"/>
          <w:b/>
          <w:sz w:val="24"/>
          <w:szCs w:val="24"/>
        </w:rPr>
        <w:t>2.</w:t>
      </w:r>
      <w:r w:rsidR="00165852">
        <w:rPr>
          <w:rFonts w:ascii="Calibri" w:eastAsia="Times New Roman" w:hAnsi="Calibri" w:cs="Times New Roman"/>
          <w:b/>
          <w:sz w:val="24"/>
          <w:szCs w:val="24"/>
        </w:rPr>
        <w:t>1</w:t>
      </w:r>
      <w:r w:rsidRPr="007B5F76">
        <w:rPr>
          <w:rFonts w:ascii="Calibri" w:eastAsia="Times New Roman" w:hAnsi="Calibri" w:cs="Times New Roman"/>
          <w:b/>
          <w:sz w:val="24"/>
          <w:szCs w:val="24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972C7">
        <w:rPr>
          <w:rFonts w:ascii="Calibri" w:eastAsia="Times New Roman" w:hAnsi="Calibri" w:cs="Times New Roman"/>
          <w:sz w:val="24"/>
          <w:szCs w:val="24"/>
        </w:rPr>
        <w:t>В</w:t>
      </w:r>
      <w:r>
        <w:rPr>
          <w:rFonts w:ascii="Calibri" w:eastAsia="Times New Roman" w:hAnsi="Calibri" w:cs="Times New Roman"/>
          <w:sz w:val="24"/>
          <w:szCs w:val="24"/>
        </w:rPr>
        <w:t>ыбор экспертной организации</w:t>
      </w:r>
      <w:r w:rsidR="00F66467">
        <w:rPr>
          <w:rFonts w:ascii="Calibri" w:eastAsia="Times New Roman" w:hAnsi="Calibri" w:cs="Times New Roman"/>
          <w:sz w:val="24"/>
          <w:szCs w:val="24"/>
        </w:rPr>
        <w:t xml:space="preserve"> рекомендуется осуществлять на основе следующих критериев</w:t>
      </w:r>
      <w:r>
        <w:rPr>
          <w:rFonts w:ascii="Calibri" w:eastAsia="Times New Roman" w:hAnsi="Calibri" w:cs="Times New Roman"/>
          <w:sz w:val="24"/>
          <w:szCs w:val="24"/>
        </w:rPr>
        <w:t>:</w:t>
      </w:r>
    </w:p>
    <w:p w14:paraId="27DCCEEC" w14:textId="77777777" w:rsidR="006F6721" w:rsidRPr="00F66467" w:rsidRDefault="006F6721" w:rsidP="006F6721">
      <w:pPr>
        <w:pStyle w:val="a8"/>
        <w:numPr>
          <w:ilvl w:val="2"/>
          <w:numId w:val="12"/>
        </w:numPr>
        <w:spacing w:after="0"/>
        <w:ind w:left="1418"/>
        <w:contextualSpacing w:val="0"/>
        <w:jc w:val="both"/>
        <w:rPr>
          <w:sz w:val="24"/>
          <w:szCs w:val="24"/>
        </w:rPr>
      </w:pPr>
      <w:r w:rsidRPr="00F66467">
        <w:rPr>
          <w:rFonts w:ascii="Calibri" w:eastAsia="Times New Roman" w:hAnsi="Calibri" w:cs="Times New Roman"/>
          <w:sz w:val="24"/>
          <w:szCs w:val="24"/>
        </w:rPr>
        <w:t>Опыт</w:t>
      </w:r>
      <w:r w:rsidRPr="00F66467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работы:</w:t>
      </w:r>
    </w:p>
    <w:p w14:paraId="5CFAF5E5" w14:textId="77777777" w:rsidR="006F6721" w:rsidRPr="00F66467" w:rsidRDefault="006F6721" w:rsidP="006F6721">
      <w:pPr>
        <w:pStyle w:val="a8"/>
        <w:numPr>
          <w:ilvl w:val="0"/>
          <w:numId w:val="7"/>
        </w:num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о</w:t>
      </w:r>
      <w:r w:rsidRPr="00F66467">
        <w:rPr>
          <w:rFonts w:ascii="Calibri" w:eastAsia="Times New Roman" w:hAnsi="Calibri" w:cs="Times New Roman"/>
          <w:sz w:val="24"/>
          <w:szCs w:val="24"/>
        </w:rPr>
        <w:t xml:space="preserve">пыт </w:t>
      </w:r>
      <w:r>
        <w:rPr>
          <w:rFonts w:ascii="Calibri" w:eastAsia="Times New Roman" w:hAnsi="Calibri" w:cs="Times New Roman"/>
          <w:sz w:val="24"/>
          <w:szCs w:val="24"/>
        </w:rPr>
        <w:t xml:space="preserve">проведения </w:t>
      </w:r>
      <w:r w:rsidRPr="00F66467">
        <w:rPr>
          <w:rFonts w:ascii="Calibri" w:eastAsia="Times New Roman" w:hAnsi="Calibri" w:cs="Times New Roman"/>
          <w:sz w:val="24"/>
          <w:szCs w:val="24"/>
        </w:rPr>
        <w:t xml:space="preserve">аналогичных </w:t>
      </w:r>
      <w:r>
        <w:rPr>
          <w:rFonts w:ascii="Calibri" w:eastAsia="Times New Roman" w:hAnsi="Calibri" w:cs="Times New Roman"/>
          <w:sz w:val="24"/>
          <w:szCs w:val="24"/>
        </w:rPr>
        <w:t xml:space="preserve">внесудебных </w:t>
      </w:r>
      <w:r w:rsidRPr="00F66467">
        <w:rPr>
          <w:rFonts w:ascii="Calibri" w:eastAsia="Times New Roman" w:hAnsi="Calibri" w:cs="Times New Roman"/>
          <w:sz w:val="24"/>
          <w:szCs w:val="24"/>
        </w:rPr>
        <w:t>исследований/экспертиз;</w:t>
      </w:r>
    </w:p>
    <w:p w14:paraId="22B83AF1" w14:textId="77777777" w:rsidR="006F6721" w:rsidRDefault="006F6721" w:rsidP="006F6721">
      <w:pPr>
        <w:pStyle w:val="a8"/>
        <w:numPr>
          <w:ilvl w:val="0"/>
          <w:numId w:val="7"/>
        </w:num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о</w:t>
      </w:r>
      <w:r w:rsidRPr="00F66467">
        <w:rPr>
          <w:rFonts w:ascii="Calibri" w:eastAsia="Times New Roman" w:hAnsi="Calibri" w:cs="Times New Roman"/>
          <w:sz w:val="24"/>
          <w:szCs w:val="24"/>
        </w:rPr>
        <w:t>пыт судебной экспертизы;</w:t>
      </w:r>
    </w:p>
    <w:p w14:paraId="10BA06D8" w14:textId="77777777" w:rsidR="006F6721" w:rsidRPr="00F66467" w:rsidRDefault="006F6721" w:rsidP="006F6721">
      <w:pPr>
        <w:pStyle w:val="a8"/>
        <w:numPr>
          <w:ilvl w:val="0"/>
          <w:numId w:val="7"/>
        </w:num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опыт подготовки аналогичных отчетов об оценке и экспертных заключений в рамках оценочной деятельности;</w:t>
      </w:r>
    </w:p>
    <w:p w14:paraId="4BA55766" w14:textId="16584B94" w:rsidR="006F6721" w:rsidRPr="00F66467" w:rsidRDefault="006F6721" w:rsidP="006F6721">
      <w:pPr>
        <w:pStyle w:val="a8"/>
        <w:numPr>
          <w:ilvl w:val="0"/>
          <w:numId w:val="7"/>
        </w:num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с</w:t>
      </w:r>
      <w:r w:rsidRPr="00F66467">
        <w:rPr>
          <w:rFonts w:ascii="Calibri" w:eastAsia="Times New Roman" w:hAnsi="Calibri" w:cs="Times New Roman"/>
          <w:sz w:val="24"/>
          <w:szCs w:val="24"/>
        </w:rPr>
        <w:t>рок с момента регистрации организации</w:t>
      </w:r>
      <w:r>
        <w:rPr>
          <w:rFonts w:ascii="Calibri" w:eastAsia="Times New Roman" w:hAnsi="Calibri" w:cs="Times New Roman"/>
          <w:sz w:val="24"/>
          <w:szCs w:val="24"/>
        </w:rPr>
        <w:t>;</w:t>
      </w:r>
    </w:p>
    <w:p w14:paraId="6DF8D4A3" w14:textId="77777777" w:rsidR="006F6721" w:rsidRPr="00F66467" w:rsidRDefault="006F6721" w:rsidP="006F6721">
      <w:pPr>
        <w:pStyle w:val="a8"/>
        <w:numPr>
          <w:ilvl w:val="2"/>
          <w:numId w:val="12"/>
        </w:numPr>
        <w:spacing w:after="0"/>
        <w:ind w:left="1418"/>
        <w:contextualSpacing w:val="0"/>
        <w:jc w:val="both"/>
        <w:rPr>
          <w:rFonts w:ascii="Calibri" w:eastAsia="Times New Roman" w:hAnsi="Calibri" w:cs="Times New Roman"/>
          <w:sz w:val="24"/>
          <w:szCs w:val="24"/>
        </w:rPr>
      </w:pPr>
      <w:r w:rsidRPr="00F66467">
        <w:rPr>
          <w:rFonts w:ascii="Calibri" w:eastAsia="Times New Roman" w:hAnsi="Calibri" w:cs="Times New Roman"/>
          <w:sz w:val="24"/>
          <w:szCs w:val="24"/>
        </w:rPr>
        <w:t xml:space="preserve">Профессиональное признание </w:t>
      </w:r>
      <w:r>
        <w:rPr>
          <w:rFonts w:ascii="Calibri" w:eastAsia="Times New Roman" w:hAnsi="Calibri" w:cs="Times New Roman"/>
          <w:sz w:val="24"/>
          <w:szCs w:val="24"/>
        </w:rPr>
        <w:t>(места в профессиональных р</w:t>
      </w:r>
      <w:r w:rsidRPr="00F66467">
        <w:rPr>
          <w:rFonts w:ascii="Calibri" w:eastAsia="Times New Roman" w:hAnsi="Calibri" w:cs="Times New Roman"/>
          <w:sz w:val="24"/>
          <w:szCs w:val="24"/>
        </w:rPr>
        <w:t>ейтинг</w:t>
      </w:r>
      <w:r>
        <w:rPr>
          <w:rFonts w:ascii="Calibri" w:eastAsia="Times New Roman" w:hAnsi="Calibri" w:cs="Times New Roman"/>
          <w:sz w:val="24"/>
          <w:szCs w:val="24"/>
        </w:rPr>
        <w:t>ах</w:t>
      </w:r>
      <w:r w:rsidRPr="00F66467">
        <w:rPr>
          <w:rFonts w:ascii="Calibri" w:eastAsia="Times New Roman" w:hAnsi="Calibri" w:cs="Times New Roman"/>
          <w:sz w:val="24"/>
          <w:szCs w:val="24"/>
        </w:rPr>
        <w:t xml:space="preserve">, </w:t>
      </w:r>
      <w:r>
        <w:rPr>
          <w:rFonts w:ascii="Calibri" w:eastAsia="Times New Roman" w:hAnsi="Calibri" w:cs="Times New Roman"/>
          <w:sz w:val="24"/>
          <w:szCs w:val="24"/>
        </w:rPr>
        <w:t xml:space="preserve">наличие профессиональных </w:t>
      </w:r>
      <w:r w:rsidRPr="00F66467">
        <w:rPr>
          <w:rFonts w:ascii="Calibri" w:eastAsia="Times New Roman" w:hAnsi="Calibri" w:cs="Times New Roman"/>
          <w:sz w:val="24"/>
          <w:szCs w:val="24"/>
        </w:rPr>
        <w:t>аккредитаци</w:t>
      </w:r>
      <w:r>
        <w:rPr>
          <w:rFonts w:ascii="Calibri" w:eastAsia="Times New Roman" w:hAnsi="Calibri" w:cs="Times New Roman"/>
          <w:sz w:val="24"/>
          <w:szCs w:val="24"/>
        </w:rPr>
        <w:t>й</w:t>
      </w:r>
      <w:r w:rsidRPr="00F66467">
        <w:rPr>
          <w:rFonts w:ascii="Calibri" w:eastAsia="Times New Roman" w:hAnsi="Calibri" w:cs="Times New Roman"/>
          <w:sz w:val="24"/>
          <w:szCs w:val="24"/>
        </w:rPr>
        <w:t>)</w:t>
      </w:r>
      <w:r>
        <w:rPr>
          <w:rFonts w:ascii="Calibri" w:eastAsia="Times New Roman" w:hAnsi="Calibri" w:cs="Times New Roman"/>
          <w:sz w:val="24"/>
          <w:szCs w:val="24"/>
        </w:rPr>
        <w:t>;</w:t>
      </w:r>
    </w:p>
    <w:p w14:paraId="47A286F7" w14:textId="77777777" w:rsidR="006F6721" w:rsidRPr="00F66467" w:rsidRDefault="006F6721" w:rsidP="006F6721">
      <w:pPr>
        <w:pStyle w:val="a8"/>
        <w:numPr>
          <w:ilvl w:val="2"/>
          <w:numId w:val="12"/>
        </w:numPr>
        <w:spacing w:after="0"/>
        <w:ind w:left="1418"/>
        <w:contextualSpacing w:val="0"/>
        <w:jc w:val="both"/>
        <w:rPr>
          <w:rFonts w:ascii="Calibri" w:eastAsia="Times New Roman" w:hAnsi="Calibri" w:cs="Times New Roman"/>
          <w:sz w:val="24"/>
          <w:szCs w:val="24"/>
        </w:rPr>
      </w:pPr>
      <w:r w:rsidRPr="00F66467">
        <w:rPr>
          <w:rFonts w:ascii="Calibri" w:eastAsia="Times New Roman" w:hAnsi="Calibri" w:cs="Times New Roman"/>
          <w:sz w:val="24"/>
          <w:szCs w:val="24"/>
        </w:rPr>
        <w:t xml:space="preserve">Сроки </w:t>
      </w:r>
      <w:r>
        <w:rPr>
          <w:rFonts w:ascii="Calibri" w:eastAsia="Times New Roman" w:hAnsi="Calibri" w:cs="Times New Roman"/>
          <w:sz w:val="24"/>
          <w:szCs w:val="24"/>
        </w:rPr>
        <w:t>проведения экспертизы;</w:t>
      </w:r>
    </w:p>
    <w:p w14:paraId="4FFC6EB2" w14:textId="56915CE6" w:rsidR="00165852" w:rsidRPr="00F66467" w:rsidRDefault="00165852" w:rsidP="00C91AEA">
      <w:pPr>
        <w:pStyle w:val="a8"/>
        <w:numPr>
          <w:ilvl w:val="2"/>
          <w:numId w:val="12"/>
        </w:numPr>
        <w:spacing w:after="0"/>
        <w:ind w:left="1418"/>
        <w:contextualSpacing w:val="0"/>
        <w:jc w:val="both"/>
        <w:rPr>
          <w:rFonts w:ascii="Calibri" w:eastAsia="Times New Roman" w:hAnsi="Calibri" w:cs="Times New Roman"/>
          <w:sz w:val="24"/>
          <w:szCs w:val="24"/>
        </w:rPr>
      </w:pPr>
      <w:r w:rsidRPr="00F66467">
        <w:rPr>
          <w:rFonts w:ascii="Calibri" w:eastAsia="Times New Roman" w:hAnsi="Calibri" w:cs="Times New Roman"/>
          <w:sz w:val="24"/>
          <w:szCs w:val="24"/>
        </w:rPr>
        <w:t xml:space="preserve">Цена (стоимость) </w:t>
      </w:r>
      <w:r w:rsidR="00F66467">
        <w:rPr>
          <w:rFonts w:ascii="Calibri" w:eastAsia="Times New Roman" w:hAnsi="Calibri" w:cs="Times New Roman"/>
          <w:sz w:val="24"/>
          <w:szCs w:val="24"/>
        </w:rPr>
        <w:t>проведения экспертизы</w:t>
      </w:r>
      <w:r w:rsidR="006F6721">
        <w:rPr>
          <w:rFonts w:ascii="Calibri" w:eastAsia="Times New Roman" w:hAnsi="Calibri" w:cs="Times New Roman"/>
          <w:sz w:val="24"/>
          <w:szCs w:val="24"/>
        </w:rPr>
        <w:t>.</w:t>
      </w:r>
    </w:p>
    <w:p w14:paraId="43D0E08C" w14:textId="03932BB0" w:rsidR="007E414D" w:rsidRPr="007E414D" w:rsidRDefault="007E414D" w:rsidP="007E414D">
      <w:pPr>
        <w:spacing w:before="120" w:after="0"/>
        <w:ind w:firstLine="1068"/>
        <w:jc w:val="both"/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</w:pPr>
      <w:r w:rsidRPr="007E414D">
        <w:rPr>
          <w:rFonts w:ascii="Calibri" w:eastAsia="Times New Roman" w:hAnsi="Calibri" w:cs="Times New Roman"/>
          <w:b/>
          <w:bCs/>
          <w:sz w:val="24"/>
          <w:szCs w:val="24"/>
        </w:rPr>
        <w:t>2.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2</w:t>
      </w:r>
      <w:r w:rsidRPr="007E414D">
        <w:rPr>
          <w:rFonts w:ascii="Calibri" w:eastAsia="Times New Roman" w:hAnsi="Calibri" w:cs="Times New Roman"/>
          <w:b/>
          <w:bCs/>
          <w:sz w:val="24"/>
          <w:szCs w:val="24"/>
        </w:rPr>
        <w:t xml:space="preserve">. </w:t>
      </w:r>
      <w:r w:rsidRPr="007E414D">
        <w:rPr>
          <w:rFonts w:ascii="Calibri" w:eastAsia="Times New Roman" w:hAnsi="Calibri" w:cs="Times New Roman"/>
          <w:sz w:val="24"/>
          <w:szCs w:val="24"/>
        </w:rPr>
        <w:t>При выборе кандидатуры судебного эксперта (организации, учреждения) в качестве основного, определяющего фактора следует рассматривать неценовые критерии качества, такие как: квалификация, компетенция, опыт проведения аналогичных экспертиз.</w:t>
      </w:r>
    </w:p>
    <w:p w14:paraId="3F4329D6" w14:textId="77777777" w:rsidR="007E414D" w:rsidRPr="007E414D" w:rsidRDefault="007E414D" w:rsidP="007E414D">
      <w:pPr>
        <w:spacing w:before="120" w:after="0"/>
        <w:ind w:firstLine="1068"/>
        <w:jc w:val="both"/>
        <w:rPr>
          <w:rFonts w:ascii="Calibri" w:eastAsia="Times New Roman" w:hAnsi="Calibri" w:cs="Times New Roman"/>
          <w:sz w:val="24"/>
          <w:szCs w:val="24"/>
        </w:rPr>
      </w:pPr>
      <w:r w:rsidRPr="007E414D">
        <w:rPr>
          <w:rFonts w:ascii="Calibri" w:eastAsia="Times New Roman" w:hAnsi="Calibri" w:cs="Times New Roman"/>
          <w:sz w:val="24"/>
          <w:szCs w:val="24"/>
        </w:rPr>
        <w:t xml:space="preserve">Опыт является основой для профессиональной компетенции. Под опытом проведения аналогичных исследований/экспертиз следует понимать опыт выполнения работ, оказания услуг сопоставимого (схожего) с проводимой экспертизой характера. Например, при </w:t>
      </w:r>
      <w:r w:rsidRPr="007E414D">
        <w:rPr>
          <w:rFonts w:ascii="Calibri" w:eastAsia="Times New Roman" w:hAnsi="Calibri" w:cs="Times New Roman"/>
          <w:sz w:val="24"/>
          <w:szCs w:val="24"/>
        </w:rPr>
        <w:lastRenderedPageBreak/>
        <w:t>проведении судебной экспертизы по установлению стоимости акций или долей предприятий должен учитываться опыт по оценке бизнеса, в том числе в рассматриваемой отрасли</w:t>
      </w:r>
      <w:r>
        <w:rPr>
          <w:rStyle w:val="af1"/>
          <w:rFonts w:ascii="Calibri" w:eastAsia="Times New Roman" w:hAnsi="Calibri" w:cs="Times New Roman"/>
          <w:sz w:val="24"/>
          <w:szCs w:val="24"/>
        </w:rPr>
        <w:footnoteReference w:id="14"/>
      </w:r>
      <w:r w:rsidRPr="007E414D">
        <w:rPr>
          <w:rFonts w:ascii="Calibri" w:eastAsia="Times New Roman" w:hAnsi="Calibri" w:cs="Times New Roman"/>
          <w:sz w:val="24"/>
          <w:szCs w:val="24"/>
        </w:rPr>
        <w:t>.</w:t>
      </w:r>
    </w:p>
    <w:p w14:paraId="0EA8BB74" w14:textId="77777777" w:rsidR="007E414D" w:rsidRPr="007E414D" w:rsidRDefault="007E414D" w:rsidP="007E414D">
      <w:pPr>
        <w:spacing w:before="120" w:after="0"/>
        <w:ind w:firstLine="1068"/>
        <w:jc w:val="both"/>
        <w:rPr>
          <w:rFonts w:ascii="Calibri" w:eastAsia="Times New Roman" w:hAnsi="Calibri" w:cs="Times New Roman"/>
          <w:sz w:val="24"/>
          <w:szCs w:val="24"/>
        </w:rPr>
      </w:pPr>
      <w:r w:rsidRPr="007E414D">
        <w:rPr>
          <w:sz w:val="24"/>
          <w:szCs w:val="24"/>
        </w:rPr>
        <w:t>В соответствии с позицией Минэкономразвития России, в качестве д</w:t>
      </w:r>
      <w:r w:rsidRPr="007E414D">
        <w:rPr>
          <w:rFonts w:ascii="Calibri" w:eastAsia="Times New Roman" w:hAnsi="Calibri" w:cs="Times New Roman"/>
          <w:sz w:val="24"/>
          <w:szCs w:val="24"/>
        </w:rPr>
        <w:t>окументов, подтверждающих сведения по такому показателю, как опыт участника по успешному выполнению работ сопоставимого характера и объема, могут быть предоставленные в составе заявки копии выполненных аналогичных контрактов (договоров) за определенный период времени</w:t>
      </w:r>
      <w:r w:rsidRPr="00E50E48">
        <w:rPr>
          <w:rStyle w:val="af1"/>
          <w:rFonts w:ascii="Calibri" w:eastAsia="Times New Roman" w:hAnsi="Calibri" w:cs="Times New Roman"/>
          <w:sz w:val="24"/>
          <w:szCs w:val="24"/>
        </w:rPr>
        <w:footnoteReference w:id="15"/>
      </w:r>
      <w:r w:rsidRPr="007E414D">
        <w:rPr>
          <w:rFonts w:ascii="Calibri" w:eastAsia="Times New Roman" w:hAnsi="Calibri" w:cs="Times New Roman"/>
          <w:sz w:val="24"/>
          <w:szCs w:val="24"/>
        </w:rPr>
        <w:t>.</w:t>
      </w:r>
    </w:p>
    <w:p w14:paraId="1FED94AA" w14:textId="4FE7F89E" w:rsidR="00471955" w:rsidRPr="00FF520C" w:rsidRDefault="00CB7426" w:rsidP="00C91AEA">
      <w:pPr>
        <w:spacing w:before="120" w:after="0"/>
        <w:ind w:firstLine="709"/>
        <w:jc w:val="both"/>
        <w:rPr>
          <w:rFonts w:ascii="Calibri" w:eastAsia="Times New Roman" w:hAnsi="Calibri" w:cs="Times New Roman"/>
          <w:sz w:val="24"/>
          <w:szCs w:val="24"/>
          <w:highlight w:val="yellow"/>
        </w:rPr>
      </w:pPr>
      <w:r w:rsidRPr="004972C7">
        <w:rPr>
          <w:rFonts w:ascii="Calibri" w:eastAsia="Times New Roman" w:hAnsi="Calibri" w:cs="Times New Roman"/>
          <w:b/>
          <w:sz w:val="24"/>
          <w:szCs w:val="24"/>
        </w:rPr>
        <w:t>2.</w:t>
      </w:r>
      <w:r w:rsidR="007E414D">
        <w:rPr>
          <w:rFonts w:ascii="Calibri" w:eastAsia="Times New Roman" w:hAnsi="Calibri" w:cs="Times New Roman"/>
          <w:b/>
          <w:sz w:val="24"/>
          <w:szCs w:val="24"/>
        </w:rPr>
        <w:t>3</w:t>
      </w:r>
      <w:r w:rsidRPr="004972C7">
        <w:rPr>
          <w:rFonts w:ascii="Calibri" w:eastAsia="Times New Roman" w:hAnsi="Calibri" w:cs="Times New Roman"/>
          <w:b/>
          <w:sz w:val="24"/>
          <w:szCs w:val="24"/>
        </w:rPr>
        <w:t>.</w:t>
      </w:r>
      <w:r w:rsidR="00471955" w:rsidRPr="004972C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45225" w:rsidRPr="004972C7">
        <w:rPr>
          <w:rFonts w:ascii="Calibri" w:eastAsia="Times New Roman" w:hAnsi="Calibri" w:cs="Times New Roman"/>
          <w:sz w:val="24"/>
          <w:szCs w:val="24"/>
        </w:rPr>
        <w:t>Ц</w:t>
      </w:r>
      <w:r w:rsidR="00F66467" w:rsidRPr="004972C7">
        <w:rPr>
          <w:rFonts w:ascii="Calibri" w:eastAsia="Times New Roman" w:hAnsi="Calibri" w:cs="Times New Roman"/>
          <w:sz w:val="24"/>
          <w:szCs w:val="24"/>
        </w:rPr>
        <w:t>ена</w:t>
      </w:r>
      <w:r w:rsidR="00471955" w:rsidRPr="004972C7">
        <w:rPr>
          <w:rFonts w:ascii="Calibri" w:eastAsia="Times New Roman" w:hAnsi="Calibri" w:cs="Times New Roman"/>
          <w:sz w:val="24"/>
          <w:szCs w:val="24"/>
        </w:rPr>
        <w:t xml:space="preserve"> проведения экспертизы </w:t>
      </w:r>
      <w:r w:rsidR="00471955" w:rsidRPr="004972C7">
        <w:rPr>
          <w:rFonts w:ascii="Calibri" w:eastAsia="Times New Roman" w:hAnsi="Calibri" w:cs="Times New Roman"/>
          <w:bCs/>
          <w:sz w:val="24"/>
          <w:szCs w:val="24"/>
        </w:rPr>
        <w:t xml:space="preserve">не является главным и основным критерием отбора </w:t>
      </w:r>
      <w:r w:rsidR="00E343E9">
        <w:rPr>
          <w:rFonts w:ascii="Calibri" w:eastAsia="Times New Roman" w:hAnsi="Calibri" w:cs="Times New Roman"/>
          <w:bCs/>
          <w:sz w:val="24"/>
          <w:szCs w:val="24"/>
        </w:rPr>
        <w:t xml:space="preserve">судебного эксперта, </w:t>
      </w:r>
      <w:r w:rsidR="00471955" w:rsidRPr="004972C7">
        <w:rPr>
          <w:rFonts w:ascii="Calibri" w:eastAsia="Times New Roman" w:hAnsi="Calibri" w:cs="Times New Roman"/>
          <w:bCs/>
          <w:sz w:val="24"/>
          <w:szCs w:val="24"/>
        </w:rPr>
        <w:t>экспертной организации</w:t>
      </w:r>
      <w:r w:rsidR="00E343E9">
        <w:rPr>
          <w:rFonts w:ascii="Calibri" w:eastAsia="Times New Roman" w:hAnsi="Calibri" w:cs="Times New Roman"/>
          <w:bCs/>
          <w:sz w:val="24"/>
          <w:szCs w:val="24"/>
        </w:rPr>
        <w:t>, учреждения</w:t>
      </w:r>
      <w:r w:rsidR="00F66467" w:rsidRPr="004972C7">
        <w:rPr>
          <w:rFonts w:ascii="Calibri" w:eastAsia="Times New Roman" w:hAnsi="Calibri" w:cs="Times New Roman"/>
          <w:bCs/>
          <w:sz w:val="24"/>
          <w:szCs w:val="24"/>
        </w:rPr>
        <w:t>, что подтверждается судебной практикой</w:t>
      </w:r>
      <w:r w:rsidR="00471955" w:rsidRPr="004972C7">
        <w:rPr>
          <w:rStyle w:val="af1"/>
          <w:rFonts w:ascii="Calibri" w:eastAsia="Times New Roman" w:hAnsi="Calibri" w:cs="Times New Roman"/>
          <w:sz w:val="24"/>
          <w:szCs w:val="24"/>
        </w:rPr>
        <w:footnoteReference w:id="16"/>
      </w:r>
      <w:r w:rsidR="00F66467" w:rsidRPr="004972C7">
        <w:rPr>
          <w:rFonts w:ascii="Calibri" w:eastAsia="Times New Roman" w:hAnsi="Calibri" w:cs="Times New Roman"/>
          <w:bCs/>
          <w:sz w:val="24"/>
          <w:szCs w:val="24"/>
        </w:rPr>
        <w:t>. Р</w:t>
      </w:r>
      <w:r w:rsidR="00471955" w:rsidRPr="004972C7">
        <w:rPr>
          <w:rFonts w:ascii="Calibri" w:eastAsia="Times New Roman" w:hAnsi="Calibri" w:cs="Times New Roman"/>
          <w:sz w:val="24"/>
          <w:szCs w:val="24"/>
        </w:rPr>
        <w:t xml:space="preserve">азмер вознаграждения </w:t>
      </w:r>
      <w:r w:rsidR="00471955" w:rsidRPr="004972C7">
        <w:rPr>
          <w:rFonts w:ascii="Calibri" w:eastAsia="Times New Roman" w:hAnsi="Calibri" w:cs="Times New Roman"/>
          <w:b/>
          <w:sz w:val="24"/>
          <w:szCs w:val="24"/>
        </w:rPr>
        <w:t>не является определяющим фактором</w:t>
      </w:r>
      <w:r w:rsidR="00471955" w:rsidRPr="004972C7">
        <w:rPr>
          <w:rFonts w:ascii="Calibri" w:eastAsia="Times New Roman" w:hAnsi="Calibri" w:cs="Times New Roman"/>
          <w:sz w:val="24"/>
          <w:szCs w:val="24"/>
        </w:rPr>
        <w:t xml:space="preserve"> при выборе судом кандидатуры эксперта: размер вознаграждения эксперту </w:t>
      </w:r>
      <w:r w:rsidR="00471955" w:rsidRPr="004972C7">
        <w:rPr>
          <w:rFonts w:ascii="Calibri" w:eastAsia="Times New Roman" w:hAnsi="Calibri" w:cs="Times New Roman"/>
          <w:b/>
          <w:sz w:val="24"/>
          <w:szCs w:val="24"/>
        </w:rPr>
        <w:t>может</w:t>
      </w:r>
      <w:r w:rsidR="00471955" w:rsidRPr="004972C7">
        <w:rPr>
          <w:rFonts w:ascii="Calibri" w:eastAsia="Times New Roman" w:hAnsi="Calibri" w:cs="Times New Roman"/>
          <w:sz w:val="24"/>
          <w:szCs w:val="24"/>
        </w:rPr>
        <w:t xml:space="preserve"> учитываться при назначении экспертизы судом, но самая низкая стоимость вознаграждения </w:t>
      </w:r>
      <w:r w:rsidR="00471955" w:rsidRPr="004972C7">
        <w:rPr>
          <w:rFonts w:ascii="Calibri" w:eastAsia="Times New Roman" w:hAnsi="Calibri" w:cs="Times New Roman"/>
          <w:b/>
          <w:sz w:val="24"/>
          <w:szCs w:val="24"/>
        </w:rPr>
        <w:t>не является необходимым условием</w:t>
      </w:r>
      <w:r w:rsidR="00471955" w:rsidRPr="004972C7">
        <w:rPr>
          <w:rFonts w:ascii="Calibri" w:eastAsia="Times New Roman" w:hAnsi="Calibri" w:cs="Times New Roman"/>
          <w:sz w:val="24"/>
          <w:szCs w:val="24"/>
        </w:rPr>
        <w:t xml:space="preserve"> для выбора экспертного учреждения (эксперта)»</w:t>
      </w:r>
      <w:r w:rsidR="00471955" w:rsidRPr="004972C7">
        <w:rPr>
          <w:rStyle w:val="af1"/>
          <w:rFonts w:ascii="Calibri" w:eastAsia="Times New Roman" w:hAnsi="Calibri" w:cs="Times New Roman"/>
          <w:sz w:val="24"/>
          <w:szCs w:val="24"/>
        </w:rPr>
        <w:footnoteReference w:id="17"/>
      </w:r>
      <w:r w:rsidR="00471955" w:rsidRPr="004972C7">
        <w:rPr>
          <w:rFonts w:ascii="Calibri" w:eastAsia="Times New Roman" w:hAnsi="Calibri" w:cs="Times New Roman"/>
          <w:sz w:val="24"/>
          <w:szCs w:val="24"/>
        </w:rPr>
        <w:t>.</w:t>
      </w:r>
      <w:r w:rsidR="00324A39" w:rsidRPr="004972C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792BB7E8" w14:textId="6CBE0063" w:rsidR="00471955" w:rsidRDefault="00C45225" w:rsidP="00C91AEA">
      <w:pPr>
        <w:spacing w:before="120"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4972C7">
        <w:rPr>
          <w:rFonts w:ascii="Calibri" w:eastAsia="Calibri" w:hAnsi="Calibri" w:cs="Times New Roman"/>
          <w:b/>
          <w:bCs/>
          <w:sz w:val="24"/>
          <w:szCs w:val="24"/>
        </w:rPr>
        <w:t>2.</w:t>
      </w:r>
      <w:r w:rsidR="007E414D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Pr="004972C7">
        <w:rPr>
          <w:rFonts w:ascii="Calibri" w:eastAsia="Calibri" w:hAnsi="Calibri" w:cs="Times New Roman"/>
          <w:b/>
          <w:bCs/>
          <w:sz w:val="24"/>
          <w:szCs w:val="24"/>
        </w:rPr>
        <w:t>.</w:t>
      </w:r>
      <w:r w:rsidRPr="004972C7">
        <w:rPr>
          <w:rFonts w:ascii="Calibri" w:eastAsia="Calibri" w:hAnsi="Calibri" w:cs="Times New Roman"/>
          <w:sz w:val="24"/>
          <w:szCs w:val="24"/>
        </w:rPr>
        <w:t xml:space="preserve"> </w:t>
      </w:r>
      <w:r w:rsidR="004972C7" w:rsidRPr="004972C7">
        <w:rPr>
          <w:rFonts w:ascii="Calibri" w:eastAsia="Calibri" w:hAnsi="Calibri" w:cs="Times New Roman"/>
          <w:sz w:val="24"/>
          <w:szCs w:val="24"/>
        </w:rPr>
        <w:t>Срок проведения экспертизы</w:t>
      </w:r>
      <w:r w:rsidR="00471955" w:rsidRPr="004972C7">
        <w:rPr>
          <w:rFonts w:ascii="Calibri" w:eastAsia="Calibri" w:hAnsi="Calibri" w:cs="Times New Roman"/>
          <w:sz w:val="24"/>
          <w:szCs w:val="24"/>
        </w:rPr>
        <w:t xml:space="preserve"> </w:t>
      </w:r>
      <w:r w:rsidR="00471955" w:rsidRPr="004972C7">
        <w:rPr>
          <w:rFonts w:ascii="Calibri" w:eastAsia="Calibri" w:hAnsi="Calibri" w:cs="Times New Roman"/>
          <w:bCs/>
          <w:sz w:val="24"/>
          <w:szCs w:val="24"/>
        </w:rPr>
        <w:t>не является главным и основным критерием отбора экспертной организации</w:t>
      </w:r>
      <w:r w:rsidR="00471955" w:rsidRPr="004972C7">
        <w:rPr>
          <w:rStyle w:val="af1"/>
          <w:rFonts w:ascii="Calibri" w:eastAsia="Calibri" w:hAnsi="Calibri" w:cs="Times New Roman"/>
          <w:sz w:val="24"/>
          <w:szCs w:val="24"/>
        </w:rPr>
        <w:t xml:space="preserve"> </w:t>
      </w:r>
      <w:r w:rsidR="00471955" w:rsidRPr="004972C7">
        <w:rPr>
          <w:rStyle w:val="af1"/>
          <w:rFonts w:ascii="Calibri" w:eastAsia="Calibri" w:hAnsi="Calibri" w:cs="Times New Roman"/>
          <w:sz w:val="24"/>
          <w:szCs w:val="24"/>
        </w:rPr>
        <w:footnoteReference w:id="18"/>
      </w:r>
      <w:r w:rsidR="00471955" w:rsidRPr="004972C7">
        <w:rPr>
          <w:rFonts w:ascii="Calibri" w:eastAsia="Calibri" w:hAnsi="Calibri" w:cs="Times New Roman"/>
          <w:sz w:val="24"/>
          <w:szCs w:val="24"/>
        </w:rPr>
        <w:t>.</w:t>
      </w:r>
    </w:p>
    <w:p w14:paraId="7D258A05" w14:textId="3B533644" w:rsidR="00AD07C1" w:rsidRDefault="00AD07C1" w:rsidP="00AD07C1">
      <w:pPr>
        <w:spacing w:before="120" w:after="0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FF520C">
        <w:rPr>
          <w:rFonts w:ascii="Calibri" w:eastAsia="Times New Roman" w:hAnsi="Calibri" w:cs="Times New Roman"/>
          <w:b/>
          <w:bCs/>
          <w:sz w:val="24"/>
          <w:szCs w:val="24"/>
        </w:rPr>
        <w:t>2.</w:t>
      </w:r>
      <w:r w:rsidR="007E414D">
        <w:rPr>
          <w:rFonts w:ascii="Calibri" w:eastAsia="Times New Roman" w:hAnsi="Calibri" w:cs="Times New Roman"/>
          <w:b/>
          <w:bCs/>
          <w:sz w:val="24"/>
          <w:szCs w:val="24"/>
        </w:rPr>
        <w:t>5</w:t>
      </w:r>
      <w:r w:rsidRPr="00FF520C">
        <w:rPr>
          <w:rFonts w:ascii="Calibri" w:eastAsia="Times New Roman" w:hAnsi="Calibri" w:cs="Times New Roman"/>
          <w:b/>
          <w:bCs/>
          <w:sz w:val="24"/>
          <w:szCs w:val="24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 xml:space="preserve"> В качестве ориентиров по цене и срокам могут использоваться отраслевые тарифные соглашения, стоимости </w:t>
      </w:r>
      <w:r w:rsidR="004040DA">
        <w:rPr>
          <w:rFonts w:ascii="Calibri" w:eastAsia="Times New Roman" w:hAnsi="Calibri" w:cs="Times New Roman"/>
          <w:sz w:val="24"/>
          <w:szCs w:val="24"/>
        </w:rPr>
        <w:t>нормо-часа</w:t>
      </w:r>
      <w:r>
        <w:rPr>
          <w:rFonts w:ascii="Calibri" w:eastAsia="Times New Roman" w:hAnsi="Calibri" w:cs="Times New Roman"/>
          <w:sz w:val="24"/>
          <w:szCs w:val="24"/>
        </w:rPr>
        <w:t xml:space="preserve"> в ФБУ РФЦСЭ при Минюсте России</w:t>
      </w:r>
      <w:r>
        <w:rPr>
          <w:rStyle w:val="af1"/>
          <w:rFonts w:ascii="Calibri" w:eastAsia="Times New Roman" w:hAnsi="Calibri" w:cs="Times New Roman"/>
          <w:sz w:val="24"/>
          <w:szCs w:val="24"/>
        </w:rPr>
        <w:footnoteReference w:id="19"/>
      </w:r>
      <w:r>
        <w:rPr>
          <w:rFonts w:ascii="Calibri" w:eastAsia="Times New Roman" w:hAnsi="Calibri" w:cs="Times New Roman"/>
          <w:sz w:val="24"/>
          <w:szCs w:val="24"/>
        </w:rPr>
        <w:t>, а также сложившиеся рыночные условия.</w:t>
      </w:r>
    </w:p>
    <w:p w14:paraId="48D05A82" w14:textId="2D3CEF64" w:rsidR="00165852" w:rsidRPr="0011252E" w:rsidRDefault="00CB7426" w:rsidP="00C91AEA">
      <w:pPr>
        <w:keepNext/>
        <w:keepLines/>
        <w:spacing w:before="360" w:after="0" w:line="276" w:lineRule="auto"/>
        <w:jc w:val="center"/>
        <w:outlineLvl w:val="0"/>
        <w:rPr>
          <w:rFonts w:eastAsia="Times New Roman"/>
          <w:caps/>
        </w:rPr>
      </w:pPr>
      <w:r w:rsidRPr="0011252E">
        <w:rPr>
          <w:rFonts w:eastAsia="Times New Roman" w:cstheme="majorBidi"/>
          <w:b/>
          <w:bCs/>
          <w:caps/>
          <w:sz w:val="28"/>
          <w:szCs w:val="28"/>
          <w:lang w:eastAsia="ru-RU"/>
        </w:rPr>
        <w:t>3. КРИТЕРИИ ВЫБОРА ЭКСПЕРТ</w:t>
      </w:r>
      <w:r w:rsidR="00324A39" w:rsidRPr="0011252E">
        <w:rPr>
          <w:rFonts w:eastAsia="Times New Roman" w:cstheme="majorBidi"/>
          <w:b/>
          <w:bCs/>
          <w:caps/>
          <w:sz w:val="28"/>
          <w:szCs w:val="28"/>
          <w:lang w:eastAsia="ru-RU"/>
        </w:rPr>
        <w:t>а</w:t>
      </w:r>
    </w:p>
    <w:p w14:paraId="0C6478B1" w14:textId="649AD253" w:rsidR="005F5152" w:rsidRDefault="004972C7">
      <w:pPr>
        <w:spacing w:before="120" w:after="120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3</w:t>
      </w:r>
      <w:r w:rsidR="00091BCB" w:rsidRPr="00BF385A">
        <w:rPr>
          <w:rFonts w:ascii="Calibri" w:eastAsia="Times New Roman" w:hAnsi="Calibri" w:cs="Times New Roman"/>
          <w:b/>
          <w:sz w:val="24"/>
          <w:szCs w:val="24"/>
        </w:rPr>
        <w:t>.</w:t>
      </w:r>
      <w:r>
        <w:rPr>
          <w:rFonts w:ascii="Calibri" w:eastAsia="Times New Roman" w:hAnsi="Calibri" w:cs="Times New Roman"/>
          <w:b/>
          <w:sz w:val="24"/>
          <w:szCs w:val="24"/>
        </w:rPr>
        <w:t>1</w:t>
      </w:r>
      <w:r w:rsidR="00091BCB" w:rsidRPr="00BF385A">
        <w:rPr>
          <w:rFonts w:ascii="Calibri" w:eastAsia="Times New Roman" w:hAnsi="Calibri" w:cs="Times New Roman"/>
          <w:b/>
          <w:sz w:val="24"/>
          <w:szCs w:val="24"/>
        </w:rPr>
        <w:t>.</w:t>
      </w:r>
      <w:r w:rsidR="00091BCB" w:rsidRPr="00BF385A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Выбор эксперта рекомендуется осуществлять на основе следующих критериев</w:t>
      </w:r>
      <w:r w:rsidR="00AF0DCD">
        <w:rPr>
          <w:rFonts w:ascii="Calibri" w:eastAsia="Times New Roman" w:hAnsi="Calibri" w:cs="Times New Roman"/>
          <w:sz w:val="24"/>
          <w:szCs w:val="24"/>
        </w:rPr>
        <w:t xml:space="preserve"> (дополнительно к критериям цены и срока)</w:t>
      </w:r>
      <w:r>
        <w:rPr>
          <w:rFonts w:ascii="Calibri" w:eastAsia="Times New Roman" w:hAnsi="Calibri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3"/>
        <w:gridCol w:w="7394"/>
      </w:tblGrid>
      <w:tr w:rsidR="00E17277" w14:paraId="570848D3" w14:textId="77777777" w:rsidTr="00C91AEA">
        <w:trPr>
          <w:tblHeader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C0FAE1A" w14:textId="2C7F3C3A" w:rsidR="00E17277" w:rsidRDefault="00E17277" w:rsidP="00C91AE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3DBE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618" w:type="dxa"/>
            <w:shd w:val="clear" w:color="auto" w:fill="F2F2F2" w:themeFill="background1" w:themeFillShade="F2"/>
            <w:vAlign w:val="center"/>
          </w:tcPr>
          <w:p w14:paraId="2096DF7C" w14:textId="77B94B91" w:rsidR="00E17277" w:rsidRDefault="00E17277" w:rsidP="00C91AE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E17277" w14:paraId="150E1DFF" w14:textId="77777777" w:rsidTr="00C91AEA">
        <w:tc>
          <w:tcPr>
            <w:tcW w:w="2235" w:type="dxa"/>
          </w:tcPr>
          <w:p w14:paraId="73DEAA01" w14:textId="48E027F7" w:rsidR="00E17277" w:rsidRDefault="00E17277" w:rsidP="00C91AE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Компетенци</w:t>
            </w:r>
            <w:r w:rsidR="0088403D">
              <w:rPr>
                <w:rFonts w:ascii="Calibri" w:eastAsia="Times New Roman" w:hAnsi="Calibri" w:cs="Times New Roman"/>
                <w:sz w:val="24"/>
                <w:szCs w:val="24"/>
              </w:rPr>
              <w:t>я</w:t>
            </w:r>
          </w:p>
        </w:tc>
        <w:tc>
          <w:tcPr>
            <w:tcW w:w="7618" w:type="dxa"/>
          </w:tcPr>
          <w:p w14:paraId="2710EDE9" w14:textId="43376D93" w:rsidR="00E00197" w:rsidRDefault="002F6348" w:rsidP="00E17277">
            <w:pPr>
              <w:pStyle w:val="a8"/>
              <w:numPr>
                <w:ilvl w:val="0"/>
                <w:numId w:val="1"/>
              </w:numPr>
              <w:ind w:left="402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«Образовательные» д</w:t>
            </w:r>
            <w:r w:rsidR="00E00197">
              <w:rPr>
                <w:rFonts w:ascii="Calibri" w:eastAsia="Times New Roman" w:hAnsi="Calibri" w:cs="Times New Roman"/>
                <w:sz w:val="24"/>
                <w:szCs w:val="24"/>
              </w:rPr>
              <w:t xml:space="preserve">окументы (соответствие документов </w:t>
            </w:r>
            <w:r w:rsidR="00E00197" w:rsidRPr="00921495">
              <w:rPr>
                <w:rFonts w:ascii="Calibri" w:eastAsia="Times New Roman" w:hAnsi="Calibri" w:cs="Times New Roman"/>
                <w:sz w:val="24"/>
                <w:szCs w:val="24"/>
              </w:rPr>
              <w:t>виду экспертизы и профил</w:t>
            </w:r>
            <w:r w:rsidR="00E00197">
              <w:rPr>
                <w:rFonts w:ascii="Calibri" w:eastAsia="Times New Roman" w:hAnsi="Calibri" w:cs="Times New Roman"/>
                <w:sz w:val="24"/>
                <w:szCs w:val="24"/>
              </w:rPr>
              <w:t>ю</w:t>
            </w:r>
            <w:r w:rsidR="00E00197" w:rsidRPr="009214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поставленных на экспертизу вопросов</w:t>
            </w:r>
            <w:r w:rsidR="00E00197"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  <w:r w:rsidR="00E00197" w:rsidRPr="009214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E00197">
              <w:rPr>
                <w:rFonts w:ascii="Calibri" w:eastAsia="Times New Roman" w:hAnsi="Calibri" w:cs="Times New Roman"/>
                <w:sz w:val="24"/>
                <w:szCs w:val="24"/>
              </w:rPr>
              <w:t>сравнение документов путем сопоставления уровня образования):</w:t>
            </w:r>
          </w:p>
          <w:p w14:paraId="4A4D8200" w14:textId="3C0521B0" w:rsidR="00E16F5D" w:rsidRPr="0050201D" w:rsidRDefault="00E17277" w:rsidP="0050201D">
            <w:pPr>
              <w:pStyle w:val="a8"/>
              <w:numPr>
                <w:ilvl w:val="0"/>
                <w:numId w:val="14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201D">
              <w:rPr>
                <w:rFonts w:ascii="Calibri" w:eastAsia="Times New Roman" w:hAnsi="Calibri" w:cs="Times New Roman"/>
                <w:sz w:val="24"/>
                <w:szCs w:val="24"/>
              </w:rPr>
              <w:t xml:space="preserve">Документы об образовании: </w:t>
            </w:r>
            <w:r w:rsidR="00624AA0" w:rsidRPr="0050201D">
              <w:rPr>
                <w:rFonts w:ascii="Calibri" w:eastAsia="Times New Roman" w:hAnsi="Calibri" w:cs="Times New Roman"/>
                <w:sz w:val="24"/>
                <w:szCs w:val="24"/>
              </w:rPr>
              <w:t>д</w:t>
            </w:r>
            <w:r w:rsidRPr="0050201D">
              <w:rPr>
                <w:rFonts w:ascii="Calibri" w:eastAsia="Times New Roman" w:hAnsi="Calibri" w:cs="Times New Roman"/>
                <w:sz w:val="24"/>
                <w:szCs w:val="24"/>
              </w:rPr>
              <w:t>ипломы, аттестаты</w:t>
            </w:r>
            <w:r w:rsidR="00921495" w:rsidRPr="0050201D">
              <w:rPr>
                <w:rFonts w:ascii="Calibri" w:eastAsia="Times New Roman" w:hAnsi="Calibri" w:cs="Times New Roman"/>
                <w:sz w:val="24"/>
                <w:szCs w:val="24"/>
              </w:rPr>
              <w:t>;</w:t>
            </w:r>
          </w:p>
          <w:p w14:paraId="64D2F79C" w14:textId="2B1D8582" w:rsidR="00E17277" w:rsidRPr="0050201D" w:rsidRDefault="00E16F5D" w:rsidP="0050201D">
            <w:pPr>
              <w:pStyle w:val="a8"/>
              <w:numPr>
                <w:ilvl w:val="0"/>
                <w:numId w:val="14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201D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Документы </w:t>
            </w:r>
            <w:r w:rsidR="00E00197">
              <w:rPr>
                <w:rFonts w:ascii="Calibri" w:eastAsia="Times New Roman" w:hAnsi="Calibri" w:cs="Times New Roman"/>
                <w:sz w:val="24"/>
                <w:szCs w:val="24"/>
              </w:rPr>
              <w:t>о</w:t>
            </w:r>
            <w:r w:rsidRPr="0050201D">
              <w:rPr>
                <w:rFonts w:ascii="Calibri" w:eastAsia="Times New Roman" w:hAnsi="Calibri" w:cs="Times New Roman"/>
                <w:sz w:val="24"/>
                <w:szCs w:val="24"/>
              </w:rPr>
              <w:t xml:space="preserve"> квалификаци</w:t>
            </w:r>
            <w:r w:rsidR="00E00197"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r w:rsidR="00E76C04" w:rsidRPr="0050201D">
              <w:rPr>
                <w:rFonts w:ascii="Calibri" w:eastAsia="Times New Roman" w:hAnsi="Calibri" w:cs="Times New Roman"/>
                <w:sz w:val="24"/>
                <w:szCs w:val="24"/>
              </w:rPr>
              <w:t xml:space="preserve">: сертификаты, свидетельства, удостоверения </w:t>
            </w:r>
            <w:r w:rsidR="00E17277" w:rsidRPr="0050201D">
              <w:rPr>
                <w:rFonts w:ascii="Calibri" w:eastAsia="Times New Roman" w:hAnsi="Calibri" w:cs="Times New Roman"/>
                <w:sz w:val="24"/>
                <w:szCs w:val="24"/>
              </w:rPr>
              <w:t>(напр., квалификационный аттестат по направлению оценочной деятельности</w:t>
            </w:r>
            <w:r w:rsidR="00E17277" w:rsidRPr="00403DBE">
              <w:rPr>
                <w:rStyle w:val="af1"/>
                <w:rFonts w:ascii="Calibri" w:eastAsia="Times New Roman" w:hAnsi="Calibri" w:cs="Times New Roman"/>
                <w:sz w:val="24"/>
                <w:szCs w:val="24"/>
              </w:rPr>
              <w:footnoteReference w:id="20"/>
            </w:r>
            <w:r w:rsidR="00624AA0" w:rsidRPr="0050201D"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  <w:r w:rsidR="00050707" w:rsidRPr="0050201D">
              <w:rPr>
                <w:rFonts w:ascii="Calibri" w:eastAsia="Times New Roman" w:hAnsi="Calibri" w:cs="Times New Roman"/>
                <w:sz w:val="24"/>
                <w:szCs w:val="24"/>
              </w:rPr>
              <w:t xml:space="preserve">; </w:t>
            </w:r>
          </w:p>
          <w:p w14:paraId="005430A3" w14:textId="26978E51" w:rsidR="00236ECB" w:rsidRDefault="00236ECB" w:rsidP="00C91AEA">
            <w:pPr>
              <w:pStyle w:val="a8"/>
              <w:numPr>
                <w:ilvl w:val="0"/>
                <w:numId w:val="1"/>
              </w:numPr>
              <w:ind w:left="402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Наличие ученых степени и званий</w:t>
            </w:r>
            <w:r w:rsidR="009472FA">
              <w:rPr>
                <w:rFonts w:ascii="Calibri" w:eastAsia="Times New Roman" w:hAnsi="Calibri" w:cs="Times New Roman"/>
                <w:sz w:val="24"/>
                <w:szCs w:val="24"/>
              </w:rPr>
              <w:t xml:space="preserve"> по профилю экспертизы</w:t>
            </w:r>
            <w:r w:rsidR="00050707">
              <w:rPr>
                <w:rFonts w:ascii="Calibri" w:eastAsia="Times New Roman" w:hAnsi="Calibri" w:cs="Times New Roman"/>
                <w:sz w:val="24"/>
                <w:szCs w:val="24"/>
              </w:rPr>
              <w:t>;</w:t>
            </w:r>
          </w:p>
          <w:p w14:paraId="402CE305" w14:textId="14BA776C" w:rsidR="00E17277" w:rsidRDefault="00236ECB" w:rsidP="00C91AEA">
            <w:pPr>
              <w:pStyle w:val="a8"/>
              <w:numPr>
                <w:ilvl w:val="0"/>
                <w:numId w:val="1"/>
              </w:numPr>
              <w:ind w:left="402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 w:rsidR="00E17277" w:rsidRPr="00403DBE">
              <w:rPr>
                <w:rFonts w:ascii="Calibri" w:eastAsia="Times New Roman" w:hAnsi="Calibri" w:cs="Times New Roman"/>
                <w:sz w:val="24"/>
                <w:szCs w:val="24"/>
              </w:rPr>
              <w:t>аучные достижения и публикации</w:t>
            </w:r>
            <w:r w:rsidR="00E17277" w:rsidRPr="00403DBE">
              <w:rPr>
                <w:sz w:val="24"/>
                <w:szCs w:val="24"/>
                <w:vertAlign w:val="superscript"/>
              </w:rPr>
              <w:footnoteReference w:id="21"/>
            </w:r>
            <w:r w:rsidR="00E17277" w:rsidRPr="00403DB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E17277" w:rsidRPr="00403DBE">
              <w:rPr>
                <w:rStyle w:val="af1"/>
                <w:rFonts w:ascii="Calibri" w:eastAsia="Times New Roman" w:hAnsi="Calibri" w:cs="Times New Roman"/>
                <w:sz w:val="24"/>
                <w:szCs w:val="24"/>
              </w:rPr>
              <w:footnoteReference w:id="22"/>
            </w:r>
            <w:r w:rsidR="00E17277" w:rsidRPr="00403DBE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E17277" w14:paraId="21FE92FA" w14:textId="77777777" w:rsidTr="00C91AEA">
        <w:tc>
          <w:tcPr>
            <w:tcW w:w="2235" w:type="dxa"/>
          </w:tcPr>
          <w:p w14:paraId="59A177AF" w14:textId="275A037F" w:rsidR="00E17277" w:rsidRDefault="00E17277" w:rsidP="00C91AE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Опыт</w:t>
            </w:r>
            <w:r w:rsidR="00BD403E">
              <w:rPr>
                <w:rFonts w:ascii="Calibri" w:eastAsia="Times New Roman" w:hAnsi="Calibri" w:cs="Times New Roman"/>
                <w:sz w:val="24"/>
                <w:szCs w:val="24"/>
              </w:rPr>
              <w:t xml:space="preserve"> (подтверждение наличия квалификации, компетенции)</w:t>
            </w:r>
          </w:p>
        </w:tc>
        <w:tc>
          <w:tcPr>
            <w:tcW w:w="7618" w:type="dxa"/>
          </w:tcPr>
          <w:p w14:paraId="7CE3D717" w14:textId="276471A8" w:rsidR="009B2F78" w:rsidRPr="00403DBE" w:rsidRDefault="00E17277" w:rsidP="009B2F78">
            <w:pPr>
              <w:pStyle w:val="a8"/>
              <w:numPr>
                <w:ilvl w:val="0"/>
                <w:numId w:val="1"/>
              </w:numPr>
              <w:ind w:left="402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3DBE">
              <w:rPr>
                <w:rFonts w:ascii="Calibri" w:eastAsia="Times New Roman" w:hAnsi="Calibri" w:cs="Times New Roman"/>
                <w:sz w:val="24"/>
                <w:szCs w:val="24"/>
              </w:rPr>
              <w:t>Стаж работы по специ</w:t>
            </w:r>
            <w:r w:rsidR="00624AA0">
              <w:rPr>
                <w:rFonts w:ascii="Calibri" w:eastAsia="Times New Roman" w:hAnsi="Calibri" w:cs="Times New Roman"/>
                <w:sz w:val="24"/>
                <w:szCs w:val="24"/>
              </w:rPr>
              <w:t>альности</w:t>
            </w:r>
            <w:r w:rsidR="009B2F78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</w:t>
            </w:r>
            <w:r w:rsidR="009B2F78" w:rsidRPr="009B2F78">
              <w:rPr>
                <w:rFonts w:ascii="Calibri" w:eastAsia="Times New Roman" w:hAnsi="Calibri" w:cs="Times New Roman"/>
                <w:sz w:val="24"/>
                <w:szCs w:val="24"/>
              </w:rPr>
              <w:t>оот</w:t>
            </w:r>
            <w:r w:rsidR="009B2F78">
              <w:rPr>
                <w:rFonts w:ascii="Calibri" w:eastAsia="Times New Roman" w:hAnsi="Calibri" w:cs="Times New Roman"/>
                <w:sz w:val="24"/>
                <w:szCs w:val="24"/>
              </w:rPr>
              <w:t>ветствие</w:t>
            </w:r>
            <w:r w:rsidR="009B2F78" w:rsidRPr="009B2F78">
              <w:rPr>
                <w:rFonts w:ascii="Calibri" w:eastAsia="Times New Roman" w:hAnsi="Calibri" w:cs="Times New Roman"/>
                <w:sz w:val="24"/>
                <w:szCs w:val="24"/>
              </w:rPr>
              <w:t xml:space="preserve"> стажа работы </w:t>
            </w:r>
            <w:r w:rsidR="009B2F78">
              <w:rPr>
                <w:rFonts w:ascii="Calibri" w:eastAsia="Times New Roman" w:hAnsi="Calibri" w:cs="Times New Roman"/>
                <w:sz w:val="24"/>
                <w:szCs w:val="24"/>
              </w:rPr>
              <w:t>виду</w:t>
            </w:r>
            <w:r w:rsidR="009B2F78" w:rsidRPr="009B2F78">
              <w:rPr>
                <w:rFonts w:ascii="Calibri" w:eastAsia="Times New Roman" w:hAnsi="Calibri" w:cs="Times New Roman"/>
                <w:sz w:val="24"/>
                <w:szCs w:val="24"/>
              </w:rPr>
              <w:t xml:space="preserve"> экспертизы и профил</w:t>
            </w:r>
            <w:r w:rsidR="00632A0D">
              <w:rPr>
                <w:rFonts w:ascii="Calibri" w:eastAsia="Times New Roman" w:hAnsi="Calibri" w:cs="Times New Roman"/>
                <w:sz w:val="24"/>
                <w:szCs w:val="24"/>
              </w:rPr>
              <w:t>ю</w:t>
            </w:r>
            <w:r w:rsidR="009B2F78" w:rsidRPr="009B2F78">
              <w:rPr>
                <w:rFonts w:ascii="Calibri" w:eastAsia="Times New Roman" w:hAnsi="Calibri" w:cs="Times New Roman"/>
                <w:sz w:val="24"/>
                <w:szCs w:val="24"/>
              </w:rPr>
              <w:t xml:space="preserve"> поставленных </w:t>
            </w:r>
            <w:r w:rsidR="009B2F78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 экспертизу </w:t>
            </w:r>
            <w:r w:rsidR="009B2F78" w:rsidRPr="009B2F78">
              <w:rPr>
                <w:rFonts w:ascii="Calibri" w:eastAsia="Times New Roman" w:hAnsi="Calibri" w:cs="Times New Roman"/>
                <w:sz w:val="24"/>
                <w:szCs w:val="24"/>
              </w:rPr>
              <w:t>вопросов</w:t>
            </w:r>
            <w:r w:rsidR="009B2F78">
              <w:rPr>
                <w:rFonts w:ascii="Calibri" w:eastAsia="Times New Roman" w:hAnsi="Calibri" w:cs="Times New Roman"/>
                <w:sz w:val="24"/>
                <w:szCs w:val="24"/>
              </w:rPr>
              <w:t>);</w:t>
            </w:r>
          </w:p>
          <w:p w14:paraId="52B5297E" w14:textId="11B31EF2" w:rsidR="009B2F78" w:rsidRPr="009B2F78" w:rsidRDefault="00624AA0" w:rsidP="007920FC">
            <w:pPr>
              <w:pStyle w:val="a8"/>
              <w:numPr>
                <w:ilvl w:val="0"/>
                <w:numId w:val="1"/>
              </w:numPr>
              <w:ind w:left="402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B2F78">
              <w:rPr>
                <w:rFonts w:ascii="Calibri" w:eastAsia="Times New Roman" w:hAnsi="Calibri" w:cs="Times New Roman"/>
                <w:sz w:val="24"/>
                <w:szCs w:val="24"/>
              </w:rPr>
              <w:t>Д</w:t>
            </w:r>
            <w:r w:rsidR="00E17277" w:rsidRPr="009B2F78">
              <w:rPr>
                <w:rFonts w:ascii="Calibri" w:eastAsia="Times New Roman" w:hAnsi="Calibri" w:cs="Times New Roman"/>
                <w:sz w:val="24"/>
                <w:szCs w:val="24"/>
              </w:rPr>
              <w:t>олжность</w:t>
            </w:r>
            <w:r w:rsidR="009B2F78" w:rsidRPr="007920F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9B2F78" w:rsidRPr="009B2F78">
              <w:rPr>
                <w:rFonts w:ascii="Calibri" w:eastAsia="Times New Roman" w:hAnsi="Calibri" w:cs="Times New Roman"/>
                <w:sz w:val="24"/>
                <w:szCs w:val="24"/>
              </w:rPr>
              <w:t>(соответс</w:t>
            </w:r>
            <w:r w:rsidR="009B2F78">
              <w:rPr>
                <w:rFonts w:ascii="Calibri" w:eastAsia="Times New Roman" w:hAnsi="Calibri" w:cs="Times New Roman"/>
                <w:sz w:val="24"/>
                <w:szCs w:val="24"/>
              </w:rPr>
              <w:t>т</w:t>
            </w:r>
            <w:r w:rsidR="009B2F78" w:rsidRPr="009B2F78">
              <w:rPr>
                <w:rFonts w:ascii="Calibri" w:eastAsia="Times New Roman" w:hAnsi="Calibri" w:cs="Times New Roman"/>
                <w:sz w:val="24"/>
                <w:szCs w:val="24"/>
              </w:rPr>
              <w:t>вие должностных обязанностей виду экспертизы и профил</w:t>
            </w:r>
            <w:r w:rsidR="00632A0D">
              <w:rPr>
                <w:rFonts w:ascii="Calibri" w:eastAsia="Times New Roman" w:hAnsi="Calibri" w:cs="Times New Roman"/>
                <w:sz w:val="24"/>
                <w:szCs w:val="24"/>
              </w:rPr>
              <w:t>ю</w:t>
            </w:r>
            <w:r w:rsidR="009B2F78" w:rsidRPr="009B2F78">
              <w:rPr>
                <w:rFonts w:ascii="Calibri" w:eastAsia="Times New Roman" w:hAnsi="Calibri" w:cs="Times New Roman"/>
                <w:sz w:val="24"/>
                <w:szCs w:val="24"/>
              </w:rPr>
              <w:t xml:space="preserve"> поставленных на экспертизу вопросов);</w:t>
            </w:r>
          </w:p>
          <w:p w14:paraId="46BADBAE" w14:textId="1FB6EB2E" w:rsidR="00E17277" w:rsidRPr="00403DBE" w:rsidRDefault="00E17277" w:rsidP="00E17277">
            <w:pPr>
              <w:pStyle w:val="a8"/>
              <w:numPr>
                <w:ilvl w:val="0"/>
                <w:numId w:val="1"/>
              </w:numPr>
              <w:ind w:left="402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3DBE">
              <w:rPr>
                <w:rFonts w:ascii="Calibri" w:eastAsia="Times New Roman" w:hAnsi="Calibri" w:cs="Times New Roman"/>
                <w:sz w:val="24"/>
                <w:szCs w:val="24"/>
              </w:rPr>
              <w:t xml:space="preserve">Стаж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судебно-экспертной деятельности</w:t>
            </w:r>
            <w:r w:rsidR="00050707">
              <w:rPr>
                <w:rFonts w:ascii="Calibri" w:eastAsia="Times New Roman" w:hAnsi="Calibri" w:cs="Times New Roman"/>
                <w:sz w:val="24"/>
                <w:szCs w:val="24"/>
              </w:rPr>
              <w:t>;</w:t>
            </w:r>
          </w:p>
          <w:p w14:paraId="48EA13D2" w14:textId="4768FF34" w:rsidR="0076679E" w:rsidRDefault="00E17277" w:rsidP="00C91AEA">
            <w:pPr>
              <w:pStyle w:val="a8"/>
              <w:numPr>
                <w:ilvl w:val="0"/>
                <w:numId w:val="1"/>
              </w:numPr>
              <w:ind w:left="402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3DBE">
              <w:rPr>
                <w:rFonts w:ascii="Calibri" w:eastAsia="Times New Roman" w:hAnsi="Calibri" w:cs="Times New Roman"/>
                <w:sz w:val="24"/>
                <w:szCs w:val="24"/>
              </w:rPr>
              <w:t xml:space="preserve">Опыт аналогичных </w:t>
            </w:r>
            <w:r w:rsidR="00CF01BA">
              <w:rPr>
                <w:rFonts w:ascii="Calibri" w:eastAsia="Times New Roman" w:hAnsi="Calibri" w:cs="Times New Roman"/>
                <w:sz w:val="24"/>
                <w:szCs w:val="24"/>
              </w:rPr>
              <w:t xml:space="preserve">внесудебных </w:t>
            </w:r>
            <w:r w:rsidRPr="00403DBE">
              <w:rPr>
                <w:rFonts w:ascii="Calibri" w:eastAsia="Times New Roman" w:hAnsi="Calibri" w:cs="Times New Roman"/>
                <w:sz w:val="24"/>
                <w:szCs w:val="24"/>
              </w:rPr>
              <w:t>исследований</w:t>
            </w:r>
            <w:r w:rsidR="00CF01BA">
              <w:rPr>
                <w:rFonts w:ascii="Calibri" w:eastAsia="Times New Roman" w:hAnsi="Calibri" w:cs="Times New Roman"/>
                <w:sz w:val="24"/>
                <w:szCs w:val="24"/>
              </w:rPr>
              <w:t>/ экспертиз</w:t>
            </w:r>
            <w:r w:rsidR="00050707">
              <w:rPr>
                <w:rFonts w:ascii="Calibri" w:eastAsia="Times New Roman" w:hAnsi="Calibri" w:cs="Times New Roman"/>
                <w:sz w:val="24"/>
                <w:szCs w:val="24"/>
              </w:rPr>
              <w:t>;</w:t>
            </w:r>
          </w:p>
          <w:p w14:paraId="22794952" w14:textId="12971C98" w:rsidR="00E17277" w:rsidRDefault="0076679E" w:rsidP="007920FC">
            <w:pPr>
              <w:pStyle w:val="a8"/>
              <w:numPr>
                <w:ilvl w:val="0"/>
                <w:numId w:val="1"/>
              </w:numPr>
              <w:ind w:left="402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</w:t>
            </w:r>
            <w:r w:rsidRPr="0076679E">
              <w:rPr>
                <w:rFonts w:ascii="Calibri" w:eastAsia="Times New Roman" w:hAnsi="Calibri" w:cs="Times New Roman"/>
                <w:sz w:val="24"/>
                <w:szCs w:val="24"/>
              </w:rPr>
              <w:t xml:space="preserve">пыт подготовки аналогичных отчетов об оценке и экспертных заключений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в рамках оценочной деятельности.</w:t>
            </w:r>
          </w:p>
        </w:tc>
      </w:tr>
      <w:tr w:rsidR="00E17277" w14:paraId="4370C425" w14:textId="77777777" w:rsidTr="00C91AEA">
        <w:tc>
          <w:tcPr>
            <w:tcW w:w="2235" w:type="dxa"/>
          </w:tcPr>
          <w:p w14:paraId="3E593F89" w14:textId="5707312F" w:rsidR="00E17277" w:rsidRDefault="00E17277" w:rsidP="00C91AE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Профессиональное приз</w:t>
            </w:r>
            <w:r w:rsidR="009F4B05"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ание</w:t>
            </w:r>
          </w:p>
        </w:tc>
        <w:tc>
          <w:tcPr>
            <w:tcW w:w="7618" w:type="dxa"/>
          </w:tcPr>
          <w:p w14:paraId="2224809E" w14:textId="59FB53DC" w:rsidR="00E17277" w:rsidRPr="00403DBE" w:rsidRDefault="00E17277" w:rsidP="00E17277">
            <w:pPr>
              <w:pStyle w:val="a8"/>
              <w:numPr>
                <w:ilvl w:val="0"/>
                <w:numId w:val="1"/>
              </w:numPr>
              <w:ind w:left="402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3DBE">
              <w:rPr>
                <w:rFonts w:ascii="Calibri" w:eastAsia="Times New Roman" w:hAnsi="Calibri" w:cs="Times New Roman"/>
                <w:sz w:val="24"/>
                <w:szCs w:val="24"/>
              </w:rPr>
              <w:t>Членство и должности в профессиона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льных объединениях</w:t>
            </w:r>
            <w:r w:rsidR="00050707">
              <w:rPr>
                <w:rFonts w:ascii="Calibri" w:eastAsia="Times New Roman" w:hAnsi="Calibri" w:cs="Times New Roman"/>
                <w:sz w:val="24"/>
                <w:szCs w:val="24"/>
              </w:rPr>
              <w:t>;</w:t>
            </w:r>
          </w:p>
          <w:p w14:paraId="251E63BB" w14:textId="19CD153C" w:rsidR="00624AA0" w:rsidRDefault="00E17277" w:rsidP="00624AA0">
            <w:pPr>
              <w:pStyle w:val="a8"/>
              <w:numPr>
                <w:ilvl w:val="0"/>
                <w:numId w:val="1"/>
              </w:numPr>
              <w:ind w:left="402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3DBE">
              <w:rPr>
                <w:rFonts w:ascii="Calibri" w:eastAsia="Times New Roman" w:hAnsi="Calibri" w:cs="Times New Roman"/>
                <w:sz w:val="24"/>
                <w:szCs w:val="24"/>
              </w:rPr>
              <w:t>Статус эксперта саморегулируемой организации</w:t>
            </w:r>
            <w:r w:rsidR="00050707">
              <w:rPr>
                <w:rFonts w:ascii="Calibri" w:eastAsia="Times New Roman" w:hAnsi="Calibri" w:cs="Times New Roman"/>
                <w:sz w:val="24"/>
                <w:szCs w:val="24"/>
              </w:rPr>
              <w:t>;</w:t>
            </w:r>
          </w:p>
          <w:p w14:paraId="00E745E3" w14:textId="1C0007C2" w:rsidR="00E17277" w:rsidRPr="00C91AEA" w:rsidRDefault="00624AA0" w:rsidP="00C91AEA">
            <w:pPr>
              <w:pStyle w:val="a8"/>
              <w:numPr>
                <w:ilvl w:val="0"/>
                <w:numId w:val="1"/>
              </w:numPr>
              <w:ind w:left="402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Награды и д</w:t>
            </w:r>
            <w:r w:rsidRPr="00403DBE">
              <w:rPr>
                <w:rFonts w:ascii="Calibri" w:eastAsia="Times New Roman" w:hAnsi="Calibri" w:cs="Times New Roman"/>
                <w:sz w:val="24"/>
                <w:szCs w:val="24"/>
              </w:rPr>
              <w:t>окументы, характеризующие профессиональные достижения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(например, грамоты, места в рейтингах и конкурсах).</w:t>
            </w:r>
          </w:p>
        </w:tc>
      </w:tr>
    </w:tbl>
    <w:p w14:paraId="274BB508" w14:textId="06A0D995" w:rsidR="00A27A2A" w:rsidRDefault="007B5F76" w:rsidP="00A27A2A">
      <w:pPr>
        <w:spacing w:before="120" w:after="120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3</w:t>
      </w:r>
      <w:r w:rsidR="00A27A2A">
        <w:rPr>
          <w:rFonts w:ascii="Calibri" w:eastAsia="Times New Roman" w:hAnsi="Calibri" w:cs="Times New Roman"/>
          <w:b/>
          <w:sz w:val="24"/>
          <w:szCs w:val="24"/>
        </w:rPr>
        <w:t>.</w:t>
      </w:r>
      <w:r w:rsidR="002A288D">
        <w:rPr>
          <w:rFonts w:ascii="Calibri" w:eastAsia="Times New Roman" w:hAnsi="Calibri" w:cs="Times New Roman"/>
          <w:b/>
          <w:sz w:val="24"/>
          <w:szCs w:val="24"/>
        </w:rPr>
        <w:t>2</w:t>
      </w:r>
      <w:r w:rsidR="002A288D" w:rsidRPr="00AF0DCD">
        <w:rPr>
          <w:rFonts w:ascii="Calibri" w:eastAsia="Times New Roman" w:hAnsi="Calibri" w:cs="Times New Roman"/>
          <w:b/>
          <w:sz w:val="24"/>
          <w:szCs w:val="24"/>
        </w:rPr>
        <w:t>.</w:t>
      </w:r>
      <w:r w:rsidR="00A27A2A" w:rsidRPr="00AF0DC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202C2">
        <w:rPr>
          <w:rFonts w:ascii="Calibri" w:eastAsia="Times New Roman" w:hAnsi="Calibri" w:cs="Times New Roman"/>
          <w:sz w:val="24"/>
          <w:szCs w:val="24"/>
        </w:rPr>
        <w:t>Показатели н</w:t>
      </w:r>
      <w:r w:rsidR="00371787" w:rsidRPr="00AF0DCD">
        <w:rPr>
          <w:rFonts w:ascii="Calibri" w:eastAsia="Times New Roman" w:hAnsi="Calibri" w:cs="Times New Roman"/>
          <w:sz w:val="24"/>
          <w:szCs w:val="24"/>
        </w:rPr>
        <w:t>аличи</w:t>
      </w:r>
      <w:r w:rsidR="004202C2">
        <w:rPr>
          <w:rFonts w:ascii="Calibri" w:eastAsia="Times New Roman" w:hAnsi="Calibri" w:cs="Times New Roman"/>
          <w:sz w:val="24"/>
          <w:szCs w:val="24"/>
        </w:rPr>
        <w:t>я</w:t>
      </w:r>
      <w:r w:rsidR="00371787" w:rsidRPr="00AF0DCD">
        <w:rPr>
          <w:rFonts w:ascii="Calibri" w:eastAsia="Times New Roman" w:hAnsi="Calibri" w:cs="Times New Roman"/>
          <w:sz w:val="24"/>
          <w:szCs w:val="24"/>
        </w:rPr>
        <w:t>, срок</w:t>
      </w:r>
      <w:r w:rsidR="004202C2">
        <w:rPr>
          <w:rFonts w:ascii="Calibri" w:eastAsia="Times New Roman" w:hAnsi="Calibri" w:cs="Times New Roman"/>
          <w:sz w:val="24"/>
          <w:szCs w:val="24"/>
        </w:rPr>
        <w:t>ов</w:t>
      </w:r>
      <w:r w:rsidR="009D46E5">
        <w:rPr>
          <w:rFonts w:ascii="Calibri" w:eastAsia="Times New Roman" w:hAnsi="Calibri" w:cs="Times New Roman"/>
          <w:sz w:val="24"/>
          <w:szCs w:val="24"/>
        </w:rPr>
        <w:t xml:space="preserve"> и </w:t>
      </w:r>
      <w:r w:rsidR="00371787" w:rsidRPr="00AF0DCD">
        <w:rPr>
          <w:rFonts w:ascii="Calibri" w:eastAsia="Times New Roman" w:hAnsi="Calibri" w:cs="Times New Roman"/>
          <w:sz w:val="24"/>
          <w:szCs w:val="24"/>
        </w:rPr>
        <w:t>размер</w:t>
      </w:r>
      <w:r w:rsidR="004202C2">
        <w:rPr>
          <w:rFonts w:ascii="Calibri" w:eastAsia="Times New Roman" w:hAnsi="Calibri" w:cs="Times New Roman"/>
          <w:sz w:val="24"/>
          <w:szCs w:val="24"/>
        </w:rPr>
        <w:t>а</w:t>
      </w:r>
      <w:r w:rsidR="00371787" w:rsidRPr="00AF0DCD">
        <w:rPr>
          <w:rFonts w:ascii="Calibri" w:eastAsia="Times New Roman" w:hAnsi="Calibri" w:cs="Times New Roman"/>
          <w:sz w:val="24"/>
          <w:szCs w:val="24"/>
        </w:rPr>
        <w:t xml:space="preserve"> страхования </w:t>
      </w:r>
      <w:r w:rsidR="00AF0DCD">
        <w:rPr>
          <w:rFonts w:ascii="Calibri" w:eastAsia="Times New Roman" w:hAnsi="Calibri" w:cs="Times New Roman"/>
          <w:sz w:val="24"/>
          <w:szCs w:val="24"/>
        </w:rPr>
        <w:t xml:space="preserve">профессиональной </w:t>
      </w:r>
      <w:r w:rsidR="00371787" w:rsidRPr="00AF0DCD">
        <w:rPr>
          <w:rFonts w:ascii="Calibri" w:eastAsia="Times New Roman" w:hAnsi="Calibri" w:cs="Times New Roman"/>
          <w:sz w:val="24"/>
          <w:szCs w:val="24"/>
        </w:rPr>
        <w:t>ответственности</w:t>
      </w:r>
      <w:r w:rsidR="009D46E5">
        <w:rPr>
          <w:rFonts w:ascii="Calibri" w:eastAsia="Times New Roman" w:hAnsi="Calibri" w:cs="Times New Roman"/>
          <w:sz w:val="24"/>
          <w:szCs w:val="24"/>
        </w:rPr>
        <w:t>,</w:t>
      </w:r>
      <w:r w:rsidR="004202C2">
        <w:rPr>
          <w:rFonts w:ascii="Calibri" w:eastAsia="Times New Roman" w:hAnsi="Calibri" w:cs="Times New Roman"/>
          <w:sz w:val="24"/>
          <w:szCs w:val="24"/>
        </w:rPr>
        <w:t xml:space="preserve"> в</w:t>
      </w:r>
      <w:r w:rsidR="004202C2" w:rsidRPr="00AF0DCD">
        <w:rPr>
          <w:rFonts w:ascii="Calibri" w:eastAsia="Times New Roman" w:hAnsi="Calibri" w:cs="Times New Roman"/>
          <w:sz w:val="24"/>
          <w:szCs w:val="24"/>
        </w:rPr>
        <w:t>стречающи</w:t>
      </w:r>
      <w:r w:rsidR="004202C2">
        <w:rPr>
          <w:rFonts w:ascii="Calibri" w:eastAsia="Times New Roman" w:hAnsi="Calibri" w:cs="Times New Roman"/>
          <w:sz w:val="24"/>
          <w:szCs w:val="24"/>
        </w:rPr>
        <w:t>е</w:t>
      </w:r>
      <w:r w:rsidR="004202C2" w:rsidRPr="00AF0DCD">
        <w:rPr>
          <w:rFonts w:ascii="Calibri" w:eastAsia="Times New Roman" w:hAnsi="Calibri" w:cs="Times New Roman"/>
          <w:sz w:val="24"/>
          <w:szCs w:val="24"/>
        </w:rPr>
        <w:t>ся в судебной практике</w:t>
      </w:r>
      <w:r w:rsidR="00371787" w:rsidRPr="00AF0DCD">
        <w:rPr>
          <w:rStyle w:val="af1"/>
          <w:rFonts w:ascii="Calibri" w:eastAsia="Times New Roman" w:hAnsi="Calibri" w:cs="Times New Roman"/>
          <w:sz w:val="24"/>
          <w:szCs w:val="24"/>
        </w:rPr>
        <w:footnoteReference w:id="23"/>
      </w:r>
      <w:r w:rsidR="00624AA0">
        <w:rPr>
          <w:rFonts w:ascii="Calibri" w:eastAsia="Times New Roman" w:hAnsi="Calibri" w:cs="Times New Roman"/>
          <w:sz w:val="24"/>
          <w:szCs w:val="24"/>
        </w:rPr>
        <w:t>,</w:t>
      </w:r>
      <w:r w:rsidR="003F5E26" w:rsidRPr="00AF0DCD">
        <w:rPr>
          <w:rFonts w:ascii="Calibri" w:eastAsia="Times New Roman" w:hAnsi="Calibri" w:cs="Times New Roman"/>
          <w:sz w:val="24"/>
          <w:szCs w:val="24"/>
        </w:rPr>
        <w:t xml:space="preserve"> не </w:t>
      </w:r>
      <w:r w:rsidR="004202C2">
        <w:rPr>
          <w:rFonts w:ascii="Calibri" w:eastAsia="Times New Roman" w:hAnsi="Calibri" w:cs="Times New Roman"/>
          <w:sz w:val="24"/>
          <w:szCs w:val="24"/>
        </w:rPr>
        <w:t>могут</w:t>
      </w:r>
      <w:r w:rsidR="003F5E26" w:rsidRPr="00AF0DC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D46E5">
        <w:rPr>
          <w:rFonts w:ascii="Calibri" w:eastAsia="Times New Roman" w:hAnsi="Calibri" w:cs="Times New Roman"/>
          <w:sz w:val="24"/>
          <w:szCs w:val="24"/>
        </w:rPr>
        <w:t xml:space="preserve">рассматриваться в качестве </w:t>
      </w:r>
      <w:r w:rsidR="003F5E26" w:rsidRPr="00AF0DCD">
        <w:rPr>
          <w:rFonts w:ascii="Calibri" w:eastAsia="Times New Roman" w:hAnsi="Calibri" w:cs="Times New Roman"/>
          <w:sz w:val="24"/>
          <w:szCs w:val="24"/>
        </w:rPr>
        <w:t>критери</w:t>
      </w:r>
      <w:r w:rsidR="004202C2">
        <w:rPr>
          <w:rFonts w:ascii="Calibri" w:eastAsia="Times New Roman" w:hAnsi="Calibri" w:cs="Times New Roman"/>
          <w:sz w:val="24"/>
          <w:szCs w:val="24"/>
        </w:rPr>
        <w:t>ев</w:t>
      </w:r>
      <w:r w:rsidR="003F5E26" w:rsidRPr="00AF0DCD">
        <w:rPr>
          <w:rFonts w:ascii="Calibri" w:eastAsia="Times New Roman" w:hAnsi="Calibri" w:cs="Times New Roman"/>
          <w:sz w:val="24"/>
          <w:szCs w:val="24"/>
        </w:rPr>
        <w:t xml:space="preserve"> выбора эксперта/экспертной организации</w:t>
      </w:r>
      <w:r w:rsidR="00624AA0">
        <w:rPr>
          <w:rFonts w:ascii="Calibri" w:eastAsia="Times New Roman" w:hAnsi="Calibri" w:cs="Times New Roman"/>
          <w:sz w:val="24"/>
          <w:szCs w:val="24"/>
        </w:rPr>
        <w:t>. Д</w:t>
      </w:r>
      <w:r w:rsidR="00AF0DCD">
        <w:rPr>
          <w:rFonts w:ascii="Calibri" w:eastAsia="Times New Roman" w:hAnsi="Calibri" w:cs="Times New Roman"/>
          <w:sz w:val="24"/>
          <w:szCs w:val="24"/>
        </w:rPr>
        <w:t>анный вид страхования не</w:t>
      </w:r>
      <w:r w:rsidR="00E17277">
        <w:rPr>
          <w:rFonts w:ascii="Calibri" w:eastAsia="Times New Roman" w:hAnsi="Calibri" w:cs="Times New Roman"/>
          <w:sz w:val="24"/>
          <w:szCs w:val="24"/>
        </w:rPr>
        <w:t> </w:t>
      </w:r>
      <w:r w:rsidR="00AF0DCD">
        <w:rPr>
          <w:rFonts w:ascii="Calibri" w:eastAsia="Times New Roman" w:hAnsi="Calibri" w:cs="Times New Roman"/>
          <w:sz w:val="24"/>
          <w:szCs w:val="24"/>
        </w:rPr>
        <w:t>распространяется на судебно-экспертную деятельност</w:t>
      </w:r>
      <w:r w:rsidR="004202C2">
        <w:rPr>
          <w:rFonts w:ascii="Calibri" w:eastAsia="Times New Roman" w:hAnsi="Calibri" w:cs="Times New Roman"/>
          <w:sz w:val="24"/>
          <w:szCs w:val="24"/>
        </w:rPr>
        <w:t>ь</w:t>
      </w:r>
      <w:r w:rsidR="009D46E5">
        <w:rPr>
          <w:rFonts w:ascii="Calibri" w:eastAsia="Times New Roman" w:hAnsi="Calibri" w:cs="Times New Roman"/>
          <w:sz w:val="24"/>
          <w:szCs w:val="24"/>
        </w:rPr>
        <w:t>, а факт/размер/срок страхования не характеризуют</w:t>
      </w:r>
      <w:r w:rsidR="009D46E5" w:rsidRPr="00AF0DCD">
        <w:rPr>
          <w:rFonts w:ascii="Calibri" w:eastAsia="Times New Roman" w:hAnsi="Calibri" w:cs="Times New Roman"/>
          <w:sz w:val="24"/>
          <w:szCs w:val="24"/>
        </w:rPr>
        <w:t xml:space="preserve"> компетенци</w:t>
      </w:r>
      <w:r w:rsidR="009D46E5">
        <w:rPr>
          <w:rFonts w:ascii="Calibri" w:eastAsia="Times New Roman" w:hAnsi="Calibri" w:cs="Times New Roman"/>
          <w:sz w:val="24"/>
          <w:szCs w:val="24"/>
        </w:rPr>
        <w:t>ю</w:t>
      </w:r>
      <w:r w:rsidR="009D46E5" w:rsidRPr="00AF0DCD">
        <w:rPr>
          <w:rFonts w:ascii="Calibri" w:eastAsia="Times New Roman" w:hAnsi="Calibri" w:cs="Times New Roman"/>
          <w:sz w:val="24"/>
          <w:szCs w:val="24"/>
        </w:rPr>
        <w:t xml:space="preserve"> и квалификаци</w:t>
      </w:r>
      <w:r w:rsidR="009D46E5">
        <w:rPr>
          <w:rFonts w:ascii="Calibri" w:eastAsia="Times New Roman" w:hAnsi="Calibri" w:cs="Times New Roman"/>
          <w:sz w:val="24"/>
          <w:szCs w:val="24"/>
        </w:rPr>
        <w:t>ю</w:t>
      </w:r>
      <w:r w:rsidR="009D46E5" w:rsidRPr="00AF0DCD">
        <w:rPr>
          <w:rFonts w:ascii="Calibri" w:eastAsia="Times New Roman" w:hAnsi="Calibri" w:cs="Times New Roman"/>
          <w:sz w:val="24"/>
          <w:szCs w:val="24"/>
        </w:rPr>
        <w:t xml:space="preserve"> судебного эксперта (организации</w:t>
      </w:r>
      <w:r w:rsidR="009F4B05">
        <w:rPr>
          <w:rFonts w:ascii="Calibri" w:eastAsia="Times New Roman" w:hAnsi="Calibri" w:cs="Times New Roman"/>
          <w:sz w:val="24"/>
          <w:szCs w:val="24"/>
        </w:rPr>
        <w:t>, учреждения</w:t>
      </w:r>
      <w:r w:rsidR="009D46E5" w:rsidRPr="00AF0DCD">
        <w:rPr>
          <w:rFonts w:ascii="Calibri" w:eastAsia="Times New Roman" w:hAnsi="Calibri" w:cs="Times New Roman"/>
          <w:sz w:val="24"/>
          <w:szCs w:val="24"/>
        </w:rPr>
        <w:t>)</w:t>
      </w:r>
      <w:r w:rsidR="004202C2">
        <w:rPr>
          <w:rFonts w:ascii="Calibri" w:eastAsia="Times New Roman" w:hAnsi="Calibri" w:cs="Times New Roman"/>
          <w:sz w:val="24"/>
          <w:szCs w:val="24"/>
        </w:rPr>
        <w:t>.</w:t>
      </w:r>
    </w:p>
    <w:p w14:paraId="2F293B15" w14:textId="2266C8AC" w:rsidR="000A436E" w:rsidRDefault="00CB7426" w:rsidP="000A436E">
      <w:pPr>
        <w:pStyle w:val="1"/>
        <w:jc w:val="center"/>
        <w:rPr>
          <w:rFonts w:asciiTheme="minorHAnsi" w:eastAsia="Times New Roman" w:hAnsiTheme="minorHAnsi"/>
          <w:caps/>
          <w:color w:val="auto"/>
        </w:rPr>
      </w:pPr>
      <w:bookmarkStart w:id="3" w:name="_Toc6586456"/>
      <w:bookmarkEnd w:id="3"/>
      <w:r>
        <w:rPr>
          <w:rFonts w:asciiTheme="minorHAnsi" w:eastAsia="Times New Roman" w:hAnsiTheme="minorHAnsi"/>
          <w:caps/>
          <w:color w:val="auto"/>
        </w:rPr>
        <w:t>4</w:t>
      </w:r>
      <w:r w:rsidR="00881AF3">
        <w:rPr>
          <w:rFonts w:asciiTheme="minorHAnsi" w:eastAsia="Times New Roman" w:hAnsiTheme="minorHAnsi"/>
          <w:caps/>
          <w:color w:val="auto"/>
        </w:rPr>
        <w:t>. Основания для отвода</w:t>
      </w:r>
      <w:r w:rsidR="00131F0E">
        <w:rPr>
          <w:rFonts w:asciiTheme="minorHAnsi" w:eastAsia="Times New Roman" w:hAnsiTheme="minorHAnsi"/>
          <w:caps/>
          <w:color w:val="auto"/>
        </w:rPr>
        <w:t xml:space="preserve"> эксперта</w:t>
      </w:r>
      <w:r w:rsidR="000A436E">
        <w:rPr>
          <w:rFonts w:asciiTheme="minorHAnsi" w:eastAsia="Times New Roman" w:hAnsiTheme="minorHAnsi"/>
          <w:caps/>
          <w:color w:val="auto"/>
        </w:rPr>
        <w:t xml:space="preserve">, </w:t>
      </w:r>
      <w:r w:rsidR="000A436E" w:rsidRPr="000A436E">
        <w:rPr>
          <w:rFonts w:asciiTheme="minorHAnsi" w:eastAsia="Times New Roman" w:hAnsiTheme="minorHAnsi"/>
          <w:caps/>
          <w:color w:val="auto"/>
        </w:rPr>
        <w:t>ЭКСПЕРТНОЙ ОРГАНИЗАЦИИ</w:t>
      </w:r>
    </w:p>
    <w:p w14:paraId="20F69C8C" w14:textId="481A2C7B" w:rsidR="00624AA0" w:rsidRDefault="00624AA0" w:rsidP="000A436E">
      <w:pPr>
        <w:spacing w:before="120" w:after="0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0A436E">
        <w:rPr>
          <w:rFonts w:ascii="Calibri" w:eastAsia="Times New Roman" w:hAnsi="Calibri" w:cs="Times New Roman"/>
          <w:b/>
          <w:bCs/>
          <w:sz w:val="24"/>
          <w:szCs w:val="24"/>
        </w:rPr>
        <w:t>4.1.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351E67">
        <w:rPr>
          <w:rFonts w:ascii="Calibri" w:eastAsia="Times New Roman" w:hAnsi="Calibri" w:cs="Times New Roman"/>
          <w:sz w:val="24"/>
          <w:szCs w:val="24"/>
        </w:rPr>
        <w:t xml:space="preserve">При производстве судебной экспертизы эксперт </w:t>
      </w:r>
      <w:r>
        <w:rPr>
          <w:rFonts w:ascii="Calibri" w:eastAsia="Times New Roman" w:hAnsi="Calibri" w:cs="Times New Roman"/>
          <w:sz w:val="24"/>
          <w:szCs w:val="24"/>
        </w:rPr>
        <w:t xml:space="preserve">должен быть </w:t>
      </w:r>
      <w:r w:rsidRPr="00351E67">
        <w:rPr>
          <w:rFonts w:ascii="Calibri" w:eastAsia="Times New Roman" w:hAnsi="Calibri" w:cs="Times New Roman"/>
          <w:sz w:val="24"/>
          <w:szCs w:val="24"/>
        </w:rPr>
        <w:t>независим, он не</w:t>
      </w:r>
      <w:r w:rsidR="00236ECB">
        <w:rPr>
          <w:rFonts w:ascii="Calibri" w:eastAsia="Times New Roman" w:hAnsi="Calibri" w:cs="Times New Roman"/>
          <w:sz w:val="24"/>
          <w:szCs w:val="24"/>
        </w:rPr>
        <w:t> </w:t>
      </w:r>
      <w:r w:rsidRPr="00351E67">
        <w:rPr>
          <w:rFonts w:ascii="Calibri" w:eastAsia="Times New Roman" w:hAnsi="Calibri" w:cs="Times New Roman"/>
          <w:sz w:val="24"/>
          <w:szCs w:val="24"/>
        </w:rPr>
        <w:t>может находиться в какой-либо зависимости от органа или лица, назначивших судебную экспертизу, сторон и других лиц, заинтересованных в исходе дела</w:t>
      </w:r>
      <w:r>
        <w:rPr>
          <w:rFonts w:ascii="Calibri" w:eastAsia="Times New Roman" w:hAnsi="Calibri" w:cs="Times New Roman"/>
          <w:sz w:val="24"/>
          <w:szCs w:val="24"/>
        </w:rPr>
        <w:t xml:space="preserve"> (ч. 1 ст. 7)</w:t>
      </w:r>
      <w:r w:rsidRPr="000A436E">
        <w:footnoteReference w:id="24"/>
      </w:r>
      <w:r w:rsidRPr="00351E67">
        <w:rPr>
          <w:rFonts w:ascii="Calibri" w:eastAsia="Times New Roman" w:hAnsi="Calibri" w:cs="Times New Roman"/>
          <w:sz w:val="24"/>
          <w:szCs w:val="24"/>
        </w:rPr>
        <w:t>.</w:t>
      </w:r>
    </w:p>
    <w:p w14:paraId="1C6AF5F3" w14:textId="4ACED6D9" w:rsidR="008A5671" w:rsidRDefault="004202C2" w:rsidP="00C91AEA">
      <w:pPr>
        <w:spacing w:before="120" w:after="0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4</w:t>
      </w:r>
      <w:r w:rsidR="00881AF3">
        <w:rPr>
          <w:rFonts w:ascii="Calibri" w:eastAsia="Times New Roman" w:hAnsi="Calibri" w:cs="Times New Roman"/>
          <w:b/>
          <w:sz w:val="24"/>
          <w:szCs w:val="24"/>
        </w:rPr>
        <w:t>.</w:t>
      </w:r>
      <w:r w:rsidR="00624AA0">
        <w:rPr>
          <w:rFonts w:ascii="Calibri" w:eastAsia="Times New Roman" w:hAnsi="Calibri" w:cs="Times New Roman"/>
          <w:b/>
          <w:sz w:val="24"/>
          <w:szCs w:val="24"/>
        </w:rPr>
        <w:t>2</w:t>
      </w:r>
      <w:r w:rsidR="00881AF3">
        <w:rPr>
          <w:rFonts w:ascii="Calibri" w:eastAsia="Times New Roman" w:hAnsi="Calibri" w:cs="Times New Roman"/>
          <w:b/>
          <w:sz w:val="24"/>
          <w:szCs w:val="24"/>
        </w:rPr>
        <w:t>.</w:t>
      </w:r>
      <w:r w:rsidR="00881AF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8A5671" w:rsidRPr="008A5671">
        <w:rPr>
          <w:rFonts w:ascii="Calibri" w:eastAsia="Times New Roman" w:hAnsi="Calibri" w:cs="Times New Roman"/>
          <w:sz w:val="24"/>
          <w:szCs w:val="24"/>
        </w:rPr>
        <w:t>Эксперт подлежит отводу от участия в производстве судебной экспертизы, а если она ему поручена, обязан немедленно прекратить ее производство при наличии оснований, предусмотренных процессуальным законодательством Российской Федерации</w:t>
      </w:r>
      <w:r w:rsidR="008A5671">
        <w:rPr>
          <w:rFonts w:ascii="Calibri" w:eastAsia="Times New Roman" w:hAnsi="Calibri" w:cs="Times New Roman"/>
          <w:sz w:val="24"/>
          <w:szCs w:val="24"/>
        </w:rPr>
        <w:t xml:space="preserve"> (ст. 70 УПК РФ, ст. 18 ГПК РФ, ст. 23 АПК РФ, ст. 33 КАС РФ)</w:t>
      </w:r>
      <w:r w:rsidR="008A5671" w:rsidRPr="008A5671">
        <w:rPr>
          <w:rFonts w:ascii="Calibri" w:eastAsia="Times New Roman" w:hAnsi="Calibri" w:cs="Times New Roman"/>
          <w:sz w:val="24"/>
          <w:szCs w:val="24"/>
        </w:rPr>
        <w:t>.</w:t>
      </w:r>
    </w:p>
    <w:p w14:paraId="39F7565E" w14:textId="12BFF301" w:rsidR="007C35AF" w:rsidRDefault="00351E67" w:rsidP="00C91AEA">
      <w:pPr>
        <w:spacing w:before="120" w:after="0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351E67">
        <w:rPr>
          <w:rFonts w:ascii="Calibri" w:eastAsia="Times New Roman" w:hAnsi="Calibri" w:cs="Times New Roman"/>
          <w:b/>
          <w:bCs/>
          <w:sz w:val="24"/>
          <w:szCs w:val="24"/>
        </w:rPr>
        <w:t>4.3.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881AF3">
        <w:rPr>
          <w:rFonts w:ascii="Calibri" w:eastAsia="Times New Roman" w:hAnsi="Calibri" w:cs="Times New Roman"/>
          <w:sz w:val="24"/>
          <w:szCs w:val="24"/>
        </w:rPr>
        <w:t xml:space="preserve">В целях </w:t>
      </w:r>
      <w:r w:rsidR="0057787C">
        <w:rPr>
          <w:rFonts w:ascii="Calibri" w:eastAsia="Times New Roman" w:hAnsi="Calibri" w:cs="Times New Roman"/>
          <w:sz w:val="24"/>
          <w:szCs w:val="24"/>
        </w:rPr>
        <w:t>качественного выполнения экспертизы необходимо обращать внимание на следующие факты, являющиеся основанием для отвода некомпетентных</w:t>
      </w:r>
      <w:r w:rsidR="004202C2">
        <w:rPr>
          <w:rFonts w:ascii="Calibri" w:eastAsia="Times New Roman" w:hAnsi="Calibri" w:cs="Times New Roman"/>
          <w:sz w:val="24"/>
          <w:szCs w:val="24"/>
        </w:rPr>
        <w:t>,</w:t>
      </w:r>
      <w:r w:rsidR="0057787C">
        <w:rPr>
          <w:rFonts w:ascii="Calibri" w:eastAsia="Times New Roman" w:hAnsi="Calibri" w:cs="Times New Roman"/>
          <w:sz w:val="24"/>
          <w:szCs w:val="24"/>
        </w:rPr>
        <w:t xml:space="preserve"> неквалифицированных </w:t>
      </w:r>
      <w:r w:rsidR="004202C2">
        <w:rPr>
          <w:rFonts w:ascii="Calibri" w:eastAsia="Times New Roman" w:hAnsi="Calibri" w:cs="Times New Roman"/>
          <w:sz w:val="24"/>
          <w:szCs w:val="24"/>
        </w:rPr>
        <w:t xml:space="preserve">или зависимых </w:t>
      </w:r>
      <w:r w:rsidR="0057787C">
        <w:rPr>
          <w:rFonts w:ascii="Calibri" w:eastAsia="Times New Roman" w:hAnsi="Calibri" w:cs="Times New Roman"/>
          <w:sz w:val="24"/>
          <w:szCs w:val="24"/>
        </w:rPr>
        <w:t>экспертов/экспертных организаций</w:t>
      </w:r>
      <w:r w:rsidR="00D16CBB">
        <w:rPr>
          <w:rFonts w:ascii="Calibri" w:eastAsia="Times New Roman" w:hAnsi="Calibri" w:cs="Times New Roman"/>
          <w:sz w:val="24"/>
          <w:szCs w:val="24"/>
        </w:rPr>
        <w:t>, учреждений</w:t>
      </w:r>
      <w:r w:rsidR="0057787C">
        <w:rPr>
          <w:rFonts w:ascii="Calibri" w:eastAsia="Times New Roman" w:hAnsi="Calibri" w:cs="Times New Roman"/>
          <w:sz w:val="24"/>
          <w:szCs w:val="24"/>
        </w:rPr>
        <w:t>:</w:t>
      </w:r>
    </w:p>
    <w:p w14:paraId="27CC1ADB" w14:textId="41646AFC" w:rsidR="00160E56" w:rsidRPr="00C91AEA" w:rsidRDefault="000B45AC" w:rsidP="00C91AEA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lastRenderedPageBreak/>
        <w:t xml:space="preserve">существенность и </w:t>
      </w:r>
      <w:r w:rsidR="00624AA0">
        <w:rPr>
          <w:rFonts w:ascii="Calibri" w:eastAsia="Times New Roman" w:hAnsi="Calibri" w:cs="Times New Roman"/>
          <w:sz w:val="24"/>
          <w:szCs w:val="24"/>
        </w:rPr>
        <w:t>н</w:t>
      </w:r>
      <w:r w:rsidR="00160E56" w:rsidRPr="00C91AEA">
        <w:rPr>
          <w:rFonts w:ascii="Calibri" w:eastAsia="Times New Roman" w:hAnsi="Calibri" w:cs="Times New Roman"/>
          <w:sz w:val="24"/>
          <w:szCs w:val="24"/>
        </w:rPr>
        <w:t xml:space="preserve">аличие </w:t>
      </w:r>
      <w:r>
        <w:rPr>
          <w:rFonts w:ascii="Calibri" w:eastAsia="Times New Roman" w:hAnsi="Calibri" w:cs="Times New Roman"/>
          <w:sz w:val="24"/>
          <w:szCs w:val="24"/>
        </w:rPr>
        <w:t>непогашенных (неснятых/неисполненных)</w:t>
      </w:r>
      <w:r w:rsidR="001824C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D7284">
        <w:rPr>
          <w:rFonts w:ascii="Calibri" w:eastAsia="Times New Roman" w:hAnsi="Calibri" w:cs="Times New Roman"/>
          <w:sz w:val="24"/>
          <w:szCs w:val="24"/>
        </w:rPr>
        <w:t xml:space="preserve">мер </w:t>
      </w:r>
      <w:r w:rsidR="009472FA" w:rsidRPr="00C91AEA">
        <w:rPr>
          <w:rFonts w:ascii="Calibri" w:eastAsia="Times New Roman" w:hAnsi="Calibri" w:cs="Times New Roman"/>
          <w:sz w:val="24"/>
          <w:szCs w:val="24"/>
        </w:rPr>
        <w:t>дисциплинарн</w:t>
      </w:r>
      <w:r w:rsidR="009472FA">
        <w:rPr>
          <w:rFonts w:ascii="Calibri" w:eastAsia="Times New Roman" w:hAnsi="Calibri" w:cs="Times New Roman"/>
          <w:sz w:val="24"/>
          <w:szCs w:val="24"/>
        </w:rPr>
        <w:t>ого</w:t>
      </w:r>
      <w:r w:rsidR="009472FA" w:rsidRPr="00C91AE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472FA">
        <w:rPr>
          <w:rFonts w:ascii="Calibri" w:eastAsia="Times New Roman" w:hAnsi="Calibri" w:cs="Times New Roman"/>
          <w:sz w:val="24"/>
          <w:szCs w:val="24"/>
        </w:rPr>
        <w:t xml:space="preserve">воздействия </w:t>
      </w:r>
      <w:r w:rsidR="00DF01C8">
        <w:rPr>
          <w:rFonts w:ascii="Calibri" w:eastAsia="Times New Roman" w:hAnsi="Calibri" w:cs="Times New Roman"/>
          <w:sz w:val="24"/>
          <w:szCs w:val="24"/>
        </w:rPr>
        <w:t xml:space="preserve">(приостановление права осуществления оценочной деятельности, рекомендация об исключении) </w:t>
      </w:r>
      <w:r w:rsidR="00324A39" w:rsidRPr="00C91AEA">
        <w:rPr>
          <w:rFonts w:ascii="Calibri" w:eastAsia="Times New Roman" w:hAnsi="Calibri" w:cs="Times New Roman"/>
          <w:sz w:val="24"/>
          <w:szCs w:val="24"/>
        </w:rPr>
        <w:t>у эксперта</w:t>
      </w:r>
      <w:r w:rsidR="00C91E0C">
        <w:rPr>
          <w:rStyle w:val="af1"/>
          <w:rFonts w:ascii="Calibri" w:eastAsia="Times New Roman" w:hAnsi="Calibri" w:cs="Times New Roman"/>
          <w:sz w:val="24"/>
          <w:szCs w:val="24"/>
        </w:rPr>
        <w:footnoteReference w:id="25"/>
      </w:r>
      <w:r w:rsidR="00C91E0C">
        <w:rPr>
          <w:rStyle w:val="af1"/>
          <w:rFonts w:ascii="Calibri" w:eastAsia="Times New Roman" w:hAnsi="Calibri" w:cs="Times New Roman"/>
          <w:sz w:val="24"/>
          <w:szCs w:val="24"/>
        </w:rPr>
        <w:footnoteReference w:id="26"/>
      </w:r>
      <w:r w:rsidR="00324A39" w:rsidRPr="00C91AEA">
        <w:rPr>
          <w:rFonts w:ascii="Calibri" w:eastAsia="Times New Roman" w:hAnsi="Calibri" w:cs="Times New Roman"/>
          <w:sz w:val="24"/>
          <w:szCs w:val="24"/>
        </w:rPr>
        <w:t>;</w:t>
      </w:r>
      <w:r w:rsidR="000B35FA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5C2EFE9A" w14:textId="44692FDF" w:rsidR="00160E56" w:rsidRPr="00C91AEA" w:rsidRDefault="00624AA0" w:rsidP="00C91AEA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ф</w:t>
      </w:r>
      <w:r w:rsidR="00324A39" w:rsidRPr="00C91AEA">
        <w:rPr>
          <w:rFonts w:ascii="Calibri" w:eastAsia="Times New Roman" w:hAnsi="Calibri" w:cs="Times New Roman"/>
          <w:sz w:val="24"/>
          <w:szCs w:val="24"/>
        </w:rPr>
        <w:t>акты п</w:t>
      </w:r>
      <w:r w:rsidR="00160E56" w:rsidRPr="00C91AEA">
        <w:rPr>
          <w:rFonts w:ascii="Calibri" w:eastAsia="Times New Roman" w:hAnsi="Calibri" w:cs="Times New Roman"/>
          <w:sz w:val="24"/>
          <w:szCs w:val="24"/>
        </w:rPr>
        <w:t>ризнани</w:t>
      </w:r>
      <w:r w:rsidR="00324A39" w:rsidRPr="00C91AEA">
        <w:rPr>
          <w:rFonts w:ascii="Calibri" w:eastAsia="Times New Roman" w:hAnsi="Calibri" w:cs="Times New Roman"/>
          <w:sz w:val="24"/>
          <w:szCs w:val="24"/>
        </w:rPr>
        <w:t>я</w:t>
      </w:r>
      <w:r w:rsidR="00160E56" w:rsidRPr="00C91AEA">
        <w:rPr>
          <w:rFonts w:ascii="Calibri" w:eastAsia="Times New Roman" w:hAnsi="Calibri" w:cs="Times New Roman"/>
          <w:sz w:val="24"/>
          <w:szCs w:val="24"/>
        </w:rPr>
        <w:t xml:space="preserve"> заключений эксперта ненадлежащим доказательством</w:t>
      </w:r>
      <w:r w:rsidR="00324A39" w:rsidRPr="00C91AEA">
        <w:rPr>
          <w:rFonts w:ascii="Calibri" w:eastAsia="Times New Roman" w:hAnsi="Calibri" w:cs="Times New Roman"/>
          <w:sz w:val="24"/>
          <w:szCs w:val="24"/>
        </w:rPr>
        <w:t>;</w:t>
      </w:r>
    </w:p>
    <w:p w14:paraId="11EA38E2" w14:textId="125E4E30" w:rsidR="00160E56" w:rsidRPr="00C91AEA" w:rsidRDefault="00624AA0" w:rsidP="00C91AEA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н</w:t>
      </w:r>
      <w:r w:rsidRPr="00C91AEA">
        <w:rPr>
          <w:rFonts w:ascii="Calibri" w:eastAsia="Times New Roman" w:hAnsi="Calibri" w:cs="Times New Roman"/>
          <w:sz w:val="24"/>
          <w:szCs w:val="24"/>
        </w:rPr>
        <w:t xml:space="preserve">аличие </w:t>
      </w:r>
      <w:r w:rsidR="0057787C" w:rsidRPr="00C91AEA">
        <w:rPr>
          <w:rFonts w:ascii="Calibri" w:eastAsia="Times New Roman" w:hAnsi="Calibri" w:cs="Times New Roman"/>
          <w:sz w:val="24"/>
          <w:szCs w:val="24"/>
        </w:rPr>
        <w:t>о</w:t>
      </w:r>
      <w:r w:rsidR="00160E56" w:rsidRPr="00C91AEA">
        <w:rPr>
          <w:rFonts w:ascii="Calibri" w:eastAsia="Times New Roman" w:hAnsi="Calibri" w:cs="Times New Roman"/>
          <w:sz w:val="24"/>
          <w:szCs w:val="24"/>
        </w:rPr>
        <w:t>трицательны</w:t>
      </w:r>
      <w:r w:rsidR="0057787C" w:rsidRPr="00C91AEA">
        <w:rPr>
          <w:rFonts w:ascii="Calibri" w:eastAsia="Times New Roman" w:hAnsi="Calibri" w:cs="Times New Roman"/>
          <w:sz w:val="24"/>
          <w:szCs w:val="24"/>
        </w:rPr>
        <w:t>х</w:t>
      </w:r>
      <w:r w:rsidR="00160E56" w:rsidRPr="00C91AEA">
        <w:rPr>
          <w:rFonts w:ascii="Calibri" w:eastAsia="Times New Roman" w:hAnsi="Calibri" w:cs="Times New Roman"/>
          <w:sz w:val="24"/>
          <w:szCs w:val="24"/>
        </w:rPr>
        <w:t xml:space="preserve"> экспертны</w:t>
      </w:r>
      <w:r w:rsidR="0057787C" w:rsidRPr="00C91AEA">
        <w:rPr>
          <w:rFonts w:ascii="Calibri" w:eastAsia="Times New Roman" w:hAnsi="Calibri" w:cs="Times New Roman"/>
          <w:sz w:val="24"/>
          <w:szCs w:val="24"/>
        </w:rPr>
        <w:t>х</w:t>
      </w:r>
      <w:r w:rsidR="00160E56" w:rsidRPr="00C91AEA">
        <w:rPr>
          <w:rFonts w:ascii="Calibri" w:eastAsia="Times New Roman" w:hAnsi="Calibri" w:cs="Times New Roman"/>
          <w:sz w:val="24"/>
          <w:szCs w:val="24"/>
        </w:rPr>
        <w:t xml:space="preserve"> заключени</w:t>
      </w:r>
      <w:r w:rsidR="0057787C" w:rsidRPr="00C91AEA">
        <w:rPr>
          <w:rFonts w:ascii="Calibri" w:eastAsia="Times New Roman" w:hAnsi="Calibri" w:cs="Times New Roman"/>
          <w:sz w:val="24"/>
          <w:szCs w:val="24"/>
        </w:rPr>
        <w:t>й</w:t>
      </w:r>
      <w:r w:rsidR="00160E56" w:rsidRPr="00C91AEA">
        <w:rPr>
          <w:rFonts w:ascii="Calibri" w:eastAsia="Times New Roman" w:hAnsi="Calibri" w:cs="Times New Roman"/>
          <w:sz w:val="24"/>
          <w:szCs w:val="24"/>
        </w:rPr>
        <w:t xml:space="preserve"> СРО</w:t>
      </w:r>
      <w:r w:rsidR="00324A39" w:rsidRPr="00C91AEA">
        <w:rPr>
          <w:rFonts w:ascii="Calibri" w:eastAsia="Times New Roman" w:hAnsi="Calibri" w:cs="Times New Roman"/>
          <w:sz w:val="24"/>
          <w:szCs w:val="24"/>
        </w:rPr>
        <w:t xml:space="preserve"> на отчеты эксперта;</w:t>
      </w:r>
    </w:p>
    <w:p w14:paraId="23259451" w14:textId="2D26CEF5" w:rsidR="00160E56" w:rsidRPr="00C91AEA" w:rsidRDefault="00236ECB" w:rsidP="00C91AEA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о</w:t>
      </w:r>
      <w:r w:rsidRPr="00C91AEA">
        <w:rPr>
          <w:rFonts w:ascii="Calibri" w:eastAsia="Times New Roman" w:hAnsi="Calibri" w:cs="Times New Roman"/>
          <w:sz w:val="24"/>
          <w:szCs w:val="24"/>
        </w:rPr>
        <w:t xml:space="preserve">тсутствие </w:t>
      </w:r>
      <w:r w:rsidR="000B35FA">
        <w:rPr>
          <w:rFonts w:ascii="Calibri" w:eastAsia="Times New Roman" w:hAnsi="Calibri" w:cs="Times New Roman"/>
          <w:sz w:val="24"/>
          <w:szCs w:val="24"/>
        </w:rPr>
        <w:t xml:space="preserve">(недостаточность) </w:t>
      </w:r>
      <w:r w:rsidR="00160E56" w:rsidRPr="00C91AEA">
        <w:rPr>
          <w:rFonts w:ascii="Calibri" w:eastAsia="Times New Roman" w:hAnsi="Calibri" w:cs="Times New Roman"/>
          <w:sz w:val="24"/>
          <w:szCs w:val="24"/>
        </w:rPr>
        <w:t>профильного образования</w:t>
      </w:r>
      <w:r w:rsidR="00324A39" w:rsidRPr="00C91AEA">
        <w:rPr>
          <w:rFonts w:ascii="Calibri" w:eastAsia="Times New Roman" w:hAnsi="Calibri" w:cs="Times New Roman"/>
          <w:sz w:val="24"/>
          <w:szCs w:val="24"/>
        </w:rPr>
        <w:t>;</w:t>
      </w:r>
    </w:p>
    <w:p w14:paraId="37A77F4F" w14:textId="77777777" w:rsidR="00236ECB" w:rsidRPr="002F7C0B" w:rsidRDefault="00236ECB" w:rsidP="00236ECB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о</w:t>
      </w:r>
      <w:r w:rsidRPr="002F7C0B">
        <w:rPr>
          <w:rFonts w:ascii="Calibri" w:eastAsia="Times New Roman" w:hAnsi="Calibri" w:cs="Times New Roman"/>
          <w:sz w:val="24"/>
          <w:szCs w:val="24"/>
        </w:rPr>
        <w:t>тсутствие квалификационных аттестатов;</w:t>
      </w:r>
    </w:p>
    <w:p w14:paraId="1B1352AA" w14:textId="7439133E" w:rsidR="00324A39" w:rsidRPr="00C91AEA" w:rsidRDefault="00236ECB" w:rsidP="00C91AEA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о</w:t>
      </w:r>
      <w:r w:rsidRPr="00C91AEA">
        <w:rPr>
          <w:rFonts w:ascii="Calibri" w:eastAsia="Times New Roman" w:hAnsi="Calibri" w:cs="Times New Roman"/>
          <w:sz w:val="24"/>
          <w:szCs w:val="24"/>
        </w:rPr>
        <w:t xml:space="preserve">тсутствие </w:t>
      </w:r>
      <w:r w:rsidR="00131F0E">
        <w:rPr>
          <w:rFonts w:ascii="Calibri" w:eastAsia="Times New Roman" w:hAnsi="Calibri" w:cs="Times New Roman"/>
          <w:sz w:val="24"/>
          <w:szCs w:val="24"/>
        </w:rPr>
        <w:t xml:space="preserve">(недостаточность) </w:t>
      </w:r>
      <w:r w:rsidR="00324A39" w:rsidRPr="00C91AEA">
        <w:rPr>
          <w:rFonts w:ascii="Calibri" w:eastAsia="Times New Roman" w:hAnsi="Calibri" w:cs="Times New Roman"/>
          <w:sz w:val="24"/>
          <w:szCs w:val="24"/>
        </w:rPr>
        <w:t>профильного опыта;</w:t>
      </w:r>
    </w:p>
    <w:p w14:paraId="73B7A9E2" w14:textId="13B05E8A" w:rsidR="00160E56" w:rsidRPr="00C91AEA" w:rsidRDefault="00236ECB" w:rsidP="00C91AEA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з</w:t>
      </w:r>
      <w:r w:rsidRPr="00C91AEA">
        <w:rPr>
          <w:rFonts w:ascii="Calibri" w:eastAsia="Times New Roman" w:hAnsi="Calibri" w:cs="Times New Roman"/>
          <w:sz w:val="24"/>
          <w:szCs w:val="24"/>
        </w:rPr>
        <w:t>ависимость</w:t>
      </w:r>
      <w:r w:rsidR="00EE3BC0">
        <w:rPr>
          <w:rFonts w:ascii="Calibri" w:eastAsia="Times New Roman" w:hAnsi="Calibri" w:cs="Times New Roman"/>
          <w:sz w:val="24"/>
          <w:szCs w:val="24"/>
        </w:rPr>
        <w:t>/аффилированность</w:t>
      </w:r>
      <w:r w:rsidRPr="00C91AE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60E56" w:rsidRPr="00C91AEA">
        <w:rPr>
          <w:rFonts w:ascii="Calibri" w:eastAsia="Times New Roman" w:hAnsi="Calibri" w:cs="Times New Roman"/>
          <w:sz w:val="24"/>
          <w:szCs w:val="24"/>
        </w:rPr>
        <w:t xml:space="preserve">от </w:t>
      </w:r>
      <w:r w:rsidR="0057787C" w:rsidRPr="00C91AEA">
        <w:rPr>
          <w:rFonts w:ascii="Calibri" w:eastAsia="Times New Roman" w:hAnsi="Calibri" w:cs="Times New Roman"/>
          <w:sz w:val="24"/>
          <w:szCs w:val="24"/>
        </w:rPr>
        <w:t>участник</w:t>
      </w:r>
      <w:r w:rsidR="0086751A">
        <w:rPr>
          <w:rFonts w:ascii="Calibri" w:eastAsia="Times New Roman" w:hAnsi="Calibri" w:cs="Times New Roman"/>
          <w:sz w:val="24"/>
          <w:szCs w:val="24"/>
        </w:rPr>
        <w:t>ов</w:t>
      </w:r>
      <w:r w:rsidR="0057787C" w:rsidRPr="00C91AEA">
        <w:rPr>
          <w:rFonts w:ascii="Calibri" w:eastAsia="Times New Roman" w:hAnsi="Calibri" w:cs="Times New Roman"/>
          <w:sz w:val="24"/>
          <w:szCs w:val="24"/>
        </w:rPr>
        <w:t xml:space="preserve"> процесса</w:t>
      </w:r>
      <w:r w:rsidR="0086751A">
        <w:rPr>
          <w:rFonts w:ascii="Calibri" w:eastAsia="Times New Roman" w:hAnsi="Calibri" w:cs="Times New Roman"/>
          <w:sz w:val="24"/>
          <w:szCs w:val="24"/>
        </w:rPr>
        <w:t>, их представителей</w:t>
      </w:r>
      <w:r w:rsidR="00324A39" w:rsidRPr="00C91AEA">
        <w:rPr>
          <w:rFonts w:ascii="Calibri" w:eastAsia="Times New Roman" w:hAnsi="Calibri" w:cs="Times New Roman"/>
          <w:sz w:val="24"/>
          <w:szCs w:val="24"/>
        </w:rPr>
        <w:t>;</w:t>
      </w:r>
    </w:p>
    <w:p w14:paraId="498762F3" w14:textId="7C74AFF1" w:rsidR="00324A39" w:rsidRPr="00C91AEA" w:rsidRDefault="00236ECB" w:rsidP="007920FC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с</w:t>
      </w:r>
      <w:r w:rsidRPr="00C91AEA">
        <w:rPr>
          <w:rFonts w:ascii="Calibri" w:eastAsia="Times New Roman" w:hAnsi="Calibri" w:cs="Times New Roman"/>
          <w:sz w:val="24"/>
          <w:szCs w:val="24"/>
        </w:rPr>
        <w:t>вязь</w:t>
      </w:r>
      <w:r w:rsidR="000D06C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31F0E" w:rsidRPr="00C91AEA">
        <w:rPr>
          <w:rFonts w:ascii="Calibri" w:eastAsia="Times New Roman" w:hAnsi="Calibri" w:cs="Times New Roman"/>
          <w:sz w:val="24"/>
          <w:szCs w:val="24"/>
        </w:rPr>
        <w:t>с экспертами,</w:t>
      </w:r>
      <w:r w:rsidR="00131F0E">
        <w:rPr>
          <w:rFonts w:ascii="Calibri" w:eastAsia="Times New Roman" w:hAnsi="Calibri" w:cs="Times New Roman"/>
          <w:sz w:val="24"/>
          <w:szCs w:val="24"/>
        </w:rPr>
        <w:t xml:space="preserve"> специалистами,</w:t>
      </w:r>
      <w:r w:rsidR="00131F0E" w:rsidRPr="00C91AEA">
        <w:rPr>
          <w:rFonts w:ascii="Calibri" w:eastAsia="Times New Roman" w:hAnsi="Calibri" w:cs="Times New Roman"/>
          <w:sz w:val="24"/>
          <w:szCs w:val="24"/>
        </w:rPr>
        <w:t xml:space="preserve"> оценщиками, экспертными и </w:t>
      </w:r>
      <w:r w:rsidR="00131F0E">
        <w:rPr>
          <w:rFonts w:ascii="Calibri" w:eastAsia="Times New Roman" w:hAnsi="Calibri" w:cs="Times New Roman"/>
          <w:sz w:val="24"/>
          <w:szCs w:val="24"/>
        </w:rPr>
        <w:t>иными</w:t>
      </w:r>
      <w:r w:rsidR="00131F0E" w:rsidRPr="00C91AEA">
        <w:rPr>
          <w:rFonts w:ascii="Calibri" w:eastAsia="Times New Roman" w:hAnsi="Calibri" w:cs="Times New Roman"/>
          <w:sz w:val="24"/>
          <w:szCs w:val="24"/>
        </w:rPr>
        <w:t xml:space="preserve"> организациями, фигурирующими в деле</w:t>
      </w:r>
      <w:r w:rsidR="00131F0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0D06C3">
        <w:rPr>
          <w:rFonts w:ascii="Calibri" w:eastAsia="Times New Roman" w:hAnsi="Calibri" w:cs="Times New Roman"/>
          <w:sz w:val="24"/>
          <w:szCs w:val="24"/>
        </w:rPr>
        <w:t xml:space="preserve">(например, </w:t>
      </w:r>
      <w:r w:rsidR="000D06C3" w:rsidRPr="000D06C3">
        <w:rPr>
          <w:rFonts w:ascii="Calibri" w:eastAsia="Times New Roman" w:hAnsi="Calibri" w:cs="Times New Roman"/>
          <w:sz w:val="24"/>
          <w:szCs w:val="24"/>
        </w:rPr>
        <w:t>наличие имущественных, договорных, организационных, родственных отношений</w:t>
      </w:r>
      <w:r w:rsidR="000D06C3">
        <w:rPr>
          <w:rFonts w:ascii="Calibri" w:eastAsia="Times New Roman" w:hAnsi="Calibri" w:cs="Times New Roman"/>
          <w:sz w:val="24"/>
          <w:szCs w:val="24"/>
        </w:rPr>
        <w:t>)</w:t>
      </w:r>
      <w:r w:rsidR="00324A39" w:rsidRPr="00C91AEA">
        <w:rPr>
          <w:rFonts w:ascii="Calibri" w:eastAsia="Times New Roman" w:hAnsi="Calibri" w:cs="Times New Roman"/>
          <w:sz w:val="24"/>
          <w:szCs w:val="24"/>
        </w:rPr>
        <w:t>;</w:t>
      </w:r>
    </w:p>
    <w:p w14:paraId="2AA4DE8E" w14:textId="352CA3D0" w:rsidR="00160E56" w:rsidRPr="00C91AEA" w:rsidRDefault="00236ECB" w:rsidP="00C91AEA">
      <w:pPr>
        <w:pStyle w:val="a8"/>
        <w:numPr>
          <w:ilvl w:val="0"/>
          <w:numId w:val="7"/>
        </w:numPr>
        <w:spacing w:after="0"/>
        <w:ind w:left="1276" w:hanging="283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ц</w:t>
      </w:r>
      <w:r w:rsidRPr="00C91AEA">
        <w:rPr>
          <w:rFonts w:ascii="Calibri" w:eastAsia="Times New Roman" w:hAnsi="Calibri" w:cs="Times New Roman"/>
          <w:sz w:val="24"/>
          <w:szCs w:val="24"/>
        </w:rPr>
        <w:t>ена</w:t>
      </w:r>
      <w:r w:rsidR="00324A39" w:rsidRPr="00C91AEA">
        <w:rPr>
          <w:rFonts w:ascii="Calibri" w:eastAsia="Times New Roman" w:hAnsi="Calibri" w:cs="Times New Roman"/>
          <w:sz w:val="24"/>
          <w:szCs w:val="24"/>
        </w:rPr>
        <w:t>, несоразмерная трудоемкости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A1B44" w:rsidRPr="00C91AEA">
        <w:rPr>
          <w:rFonts w:ascii="Calibri" w:eastAsia="Times New Roman" w:hAnsi="Calibri" w:cs="Times New Roman"/>
          <w:sz w:val="24"/>
          <w:szCs w:val="24"/>
        </w:rPr>
        <w:t>/ тарифам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A1B44" w:rsidRPr="00C91AEA">
        <w:rPr>
          <w:rFonts w:ascii="Calibri" w:eastAsia="Times New Roman" w:hAnsi="Calibri" w:cs="Times New Roman"/>
          <w:sz w:val="24"/>
          <w:szCs w:val="24"/>
        </w:rPr>
        <w:t>/ рыночным ценам на</w:t>
      </w:r>
      <w:r w:rsidR="00324A39" w:rsidRPr="00C91AEA">
        <w:rPr>
          <w:rFonts w:ascii="Calibri" w:eastAsia="Times New Roman" w:hAnsi="Calibri" w:cs="Times New Roman"/>
          <w:sz w:val="24"/>
          <w:szCs w:val="24"/>
        </w:rPr>
        <w:t xml:space="preserve"> проведени</w:t>
      </w:r>
      <w:r w:rsidR="005A1B44" w:rsidRPr="00C91AEA">
        <w:rPr>
          <w:rFonts w:ascii="Calibri" w:eastAsia="Times New Roman" w:hAnsi="Calibri" w:cs="Times New Roman"/>
          <w:sz w:val="24"/>
          <w:szCs w:val="24"/>
        </w:rPr>
        <w:t>е</w:t>
      </w:r>
      <w:r w:rsidR="00324A39" w:rsidRPr="00C91AE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A1B44" w:rsidRPr="00C91AEA">
        <w:rPr>
          <w:rFonts w:ascii="Calibri" w:eastAsia="Times New Roman" w:hAnsi="Calibri" w:cs="Times New Roman"/>
          <w:sz w:val="24"/>
          <w:szCs w:val="24"/>
        </w:rPr>
        <w:t xml:space="preserve">аналогичных </w:t>
      </w:r>
      <w:r w:rsidR="00324A39" w:rsidRPr="00C91AEA">
        <w:rPr>
          <w:rFonts w:ascii="Calibri" w:eastAsia="Times New Roman" w:hAnsi="Calibri" w:cs="Times New Roman"/>
          <w:sz w:val="24"/>
          <w:szCs w:val="24"/>
        </w:rPr>
        <w:t>экспертиз</w:t>
      </w:r>
      <w:r w:rsidR="0057787C" w:rsidRPr="00C91AEA">
        <w:rPr>
          <w:rFonts w:ascii="Calibri" w:eastAsia="Times New Roman" w:hAnsi="Calibri" w:cs="Times New Roman"/>
          <w:sz w:val="24"/>
          <w:szCs w:val="24"/>
        </w:rPr>
        <w:t>.</w:t>
      </w:r>
    </w:p>
    <w:p w14:paraId="39A56EAB" w14:textId="11708690" w:rsidR="00600142" w:rsidRPr="00600142" w:rsidRDefault="004202C2" w:rsidP="00C91AEA">
      <w:pPr>
        <w:spacing w:before="120" w:after="0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4</w:t>
      </w:r>
      <w:r w:rsidR="00600142" w:rsidRPr="00600142">
        <w:rPr>
          <w:rFonts w:ascii="Calibri" w:eastAsia="Times New Roman" w:hAnsi="Calibri" w:cs="Times New Roman"/>
          <w:b/>
          <w:sz w:val="24"/>
          <w:szCs w:val="24"/>
        </w:rPr>
        <w:t>.</w:t>
      </w:r>
      <w:r w:rsidR="00351E67">
        <w:rPr>
          <w:rFonts w:ascii="Calibri" w:eastAsia="Times New Roman" w:hAnsi="Calibri" w:cs="Times New Roman"/>
          <w:b/>
          <w:sz w:val="24"/>
          <w:szCs w:val="24"/>
        </w:rPr>
        <w:t>4</w:t>
      </w:r>
      <w:r w:rsidR="00600142" w:rsidRPr="00600142">
        <w:rPr>
          <w:rFonts w:ascii="Calibri" w:eastAsia="Times New Roman" w:hAnsi="Calibri" w:cs="Times New Roman"/>
          <w:b/>
          <w:sz w:val="24"/>
          <w:szCs w:val="24"/>
        </w:rPr>
        <w:t>.</w:t>
      </w:r>
      <w:r w:rsidR="00600142" w:rsidRPr="00600142">
        <w:rPr>
          <w:rFonts w:ascii="Calibri" w:eastAsia="Times New Roman" w:hAnsi="Calibri" w:cs="Times New Roman"/>
          <w:sz w:val="24"/>
          <w:szCs w:val="24"/>
        </w:rPr>
        <w:t xml:space="preserve"> НК РФ не содержит перечня оснований, по которым налогоплательщиком может быть заявлен отвод.</w:t>
      </w:r>
      <w:r w:rsidR="00600142" w:rsidRPr="00600142">
        <w:t xml:space="preserve"> </w:t>
      </w:r>
      <w:r w:rsidR="00600142">
        <w:t>О</w:t>
      </w:r>
      <w:r w:rsidR="00600142" w:rsidRPr="00600142">
        <w:rPr>
          <w:rFonts w:ascii="Calibri" w:eastAsia="Times New Roman" w:hAnsi="Calibri" w:cs="Times New Roman"/>
          <w:sz w:val="24"/>
          <w:szCs w:val="24"/>
        </w:rPr>
        <w:t>бстоятельства</w:t>
      </w:r>
      <w:r w:rsidR="00600142">
        <w:rPr>
          <w:rFonts w:ascii="Calibri" w:eastAsia="Times New Roman" w:hAnsi="Calibri" w:cs="Times New Roman"/>
          <w:sz w:val="24"/>
          <w:szCs w:val="24"/>
        </w:rPr>
        <w:t xml:space="preserve">, указанные в </w:t>
      </w:r>
      <w:r w:rsidR="00600142" w:rsidRPr="00600142">
        <w:rPr>
          <w:rFonts w:ascii="Calibri" w:eastAsia="Times New Roman" w:hAnsi="Calibri" w:cs="Times New Roman"/>
          <w:sz w:val="24"/>
          <w:szCs w:val="24"/>
        </w:rPr>
        <w:t>ч.</w:t>
      </w:r>
      <w:r w:rsidR="00236ECB">
        <w:rPr>
          <w:rFonts w:ascii="Calibri" w:eastAsia="Times New Roman" w:hAnsi="Calibri" w:cs="Times New Roman"/>
          <w:sz w:val="24"/>
          <w:szCs w:val="24"/>
        </w:rPr>
        <w:t> </w:t>
      </w:r>
      <w:r w:rsidR="00600142" w:rsidRPr="00600142">
        <w:rPr>
          <w:rFonts w:ascii="Calibri" w:eastAsia="Times New Roman" w:hAnsi="Calibri" w:cs="Times New Roman"/>
          <w:sz w:val="24"/>
          <w:szCs w:val="24"/>
        </w:rPr>
        <w:t>1 ст.</w:t>
      </w:r>
      <w:r w:rsidR="00236ECB">
        <w:rPr>
          <w:rFonts w:ascii="Calibri" w:eastAsia="Times New Roman" w:hAnsi="Calibri" w:cs="Times New Roman"/>
          <w:sz w:val="24"/>
          <w:szCs w:val="24"/>
        </w:rPr>
        <w:t> </w:t>
      </w:r>
      <w:r w:rsidR="00600142" w:rsidRPr="00600142">
        <w:rPr>
          <w:rFonts w:ascii="Calibri" w:eastAsia="Times New Roman" w:hAnsi="Calibri" w:cs="Times New Roman"/>
          <w:sz w:val="24"/>
          <w:szCs w:val="24"/>
        </w:rPr>
        <w:t>23 АПК РФ</w:t>
      </w:r>
      <w:r w:rsidR="00600142">
        <w:rPr>
          <w:rFonts w:ascii="Calibri" w:eastAsia="Times New Roman" w:hAnsi="Calibri" w:cs="Times New Roman"/>
          <w:sz w:val="24"/>
          <w:szCs w:val="24"/>
        </w:rPr>
        <w:t>,</w:t>
      </w:r>
      <w:r w:rsidR="00600142" w:rsidRPr="00600142">
        <w:rPr>
          <w:rFonts w:ascii="Calibri" w:eastAsia="Times New Roman" w:hAnsi="Calibri" w:cs="Times New Roman"/>
          <w:sz w:val="24"/>
          <w:szCs w:val="24"/>
        </w:rPr>
        <w:t xml:space="preserve"> могут</w:t>
      </w:r>
      <w:r w:rsidR="00471B9D">
        <w:rPr>
          <w:rStyle w:val="af1"/>
          <w:rFonts w:ascii="Calibri" w:eastAsia="Times New Roman" w:hAnsi="Calibri" w:cs="Times New Roman"/>
          <w:sz w:val="24"/>
          <w:szCs w:val="24"/>
        </w:rPr>
        <w:footnoteReference w:id="27"/>
      </w:r>
      <w:r w:rsidR="00600142" w:rsidRPr="0060014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31F0E">
        <w:rPr>
          <w:rFonts w:ascii="Calibri" w:eastAsia="Times New Roman" w:hAnsi="Calibri" w:cs="Times New Roman"/>
          <w:sz w:val="24"/>
          <w:szCs w:val="24"/>
        </w:rPr>
        <w:t>являться</w:t>
      </w:r>
      <w:r w:rsidR="00131F0E" w:rsidRPr="0060014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00142" w:rsidRPr="00600142">
        <w:rPr>
          <w:rFonts w:ascii="Calibri" w:eastAsia="Times New Roman" w:hAnsi="Calibri" w:cs="Times New Roman"/>
          <w:sz w:val="24"/>
          <w:szCs w:val="24"/>
        </w:rPr>
        <w:t>основанием для отвода эксперта в рамках налоговых правоотношений.</w:t>
      </w:r>
    </w:p>
    <w:sectPr w:rsidR="00600142" w:rsidRPr="00600142" w:rsidSect="00C91A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AAC1E" w14:textId="77777777" w:rsidR="00B80EA3" w:rsidRDefault="00B80EA3">
      <w:pPr>
        <w:spacing w:after="0" w:line="240" w:lineRule="auto"/>
      </w:pPr>
      <w:r>
        <w:separator/>
      </w:r>
    </w:p>
  </w:endnote>
  <w:endnote w:type="continuationSeparator" w:id="0">
    <w:p w14:paraId="4D652466" w14:textId="77777777" w:rsidR="00B80EA3" w:rsidRDefault="00B8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7474A" w14:textId="77777777" w:rsidR="00A2491A" w:rsidRDefault="00A2491A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464083"/>
      <w:docPartObj>
        <w:docPartGallery w:val="Page Numbers (Bottom of Page)"/>
        <w:docPartUnique/>
      </w:docPartObj>
    </w:sdtPr>
    <w:sdtEndPr/>
    <w:sdtContent>
      <w:p w14:paraId="208DEEDB" w14:textId="001C05DD" w:rsidR="006B3B47" w:rsidRDefault="006B3B47" w:rsidP="00C91AEA">
        <w:pPr>
          <w:pStyle w:val="af5"/>
        </w:pPr>
        <w:r>
          <w:rPr>
            <w:sz w:val="24"/>
            <w:szCs w:val="24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B2F78">
          <w:rPr>
            <w:noProof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CD5E1" w14:textId="77777777" w:rsidR="00A2491A" w:rsidRDefault="00A2491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2BE0F" w14:textId="77777777" w:rsidR="00B80EA3" w:rsidRDefault="00B80EA3">
      <w:pPr>
        <w:spacing w:after="0" w:line="240" w:lineRule="auto"/>
      </w:pPr>
      <w:r>
        <w:separator/>
      </w:r>
    </w:p>
  </w:footnote>
  <w:footnote w:type="continuationSeparator" w:id="0">
    <w:p w14:paraId="3AD3BEC1" w14:textId="77777777" w:rsidR="00B80EA3" w:rsidRDefault="00B80EA3">
      <w:pPr>
        <w:spacing w:after="0" w:line="240" w:lineRule="auto"/>
      </w:pPr>
      <w:r>
        <w:continuationSeparator/>
      </w:r>
    </w:p>
  </w:footnote>
  <w:footnote w:id="1">
    <w:p w14:paraId="73C85A09" w14:textId="3B34864C" w:rsidR="006B3B47" w:rsidRDefault="006B3B47" w:rsidP="00657D8D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AE2B54">
        <w:t xml:space="preserve">Федеральный закон от 31.05.2001 </w:t>
      </w:r>
      <w:r>
        <w:t>№</w:t>
      </w:r>
      <w:r w:rsidRPr="00AE2B54">
        <w:t xml:space="preserve">73-ФЗ </w:t>
      </w:r>
      <w:r>
        <w:t>«</w:t>
      </w:r>
      <w:r w:rsidRPr="00AE2B54">
        <w:t xml:space="preserve">О государственной судебно-экспертной деятельности в </w:t>
      </w:r>
      <w:r>
        <w:t>РФ»</w:t>
      </w:r>
    </w:p>
  </w:footnote>
  <w:footnote w:id="2">
    <w:p w14:paraId="297B9D22" w14:textId="10A85554" w:rsidR="006B3B47" w:rsidRDefault="006B3B47" w:rsidP="005063A1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63798E">
        <w:t>Постановление А</w:t>
      </w:r>
      <w:r>
        <w:t>С</w:t>
      </w:r>
      <w:r w:rsidRPr="0063798E">
        <w:t xml:space="preserve"> Московского округа от 25.12.2017 </w:t>
      </w:r>
      <w:r>
        <w:t>№</w:t>
      </w:r>
      <w:r w:rsidRPr="0063798E">
        <w:t xml:space="preserve">Ф05-18698/2017 по делу </w:t>
      </w:r>
      <w:r>
        <w:t>№</w:t>
      </w:r>
      <w:r w:rsidRPr="0063798E">
        <w:t>А41-68467/2015</w:t>
      </w:r>
      <w:r>
        <w:t>.</w:t>
      </w:r>
    </w:p>
  </w:footnote>
  <w:footnote w:id="3">
    <w:p w14:paraId="0647ED68" w14:textId="4562017F" w:rsidR="006B3B47" w:rsidRDefault="006B3B47" w:rsidP="005063A1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377C79">
        <w:t xml:space="preserve">Постановление Десятого </w:t>
      </w:r>
      <w:r>
        <w:t>ААС</w:t>
      </w:r>
      <w:r w:rsidRPr="00377C79">
        <w:t xml:space="preserve"> от 18.04.2017 </w:t>
      </w:r>
      <w:r>
        <w:t>№</w:t>
      </w:r>
      <w:r w:rsidRPr="00377C79">
        <w:t xml:space="preserve">10АП-2689/2017 по делу </w:t>
      </w:r>
      <w:r>
        <w:t>№</w:t>
      </w:r>
      <w:r w:rsidRPr="00377C79">
        <w:t xml:space="preserve">А41-32384/15, Постановление Восемнадцатого </w:t>
      </w:r>
      <w:r>
        <w:t>ААС</w:t>
      </w:r>
      <w:r w:rsidRPr="00377C79">
        <w:t xml:space="preserve"> от 13.03.2017 </w:t>
      </w:r>
      <w:r>
        <w:t>№</w:t>
      </w:r>
      <w:r w:rsidRPr="00377C79">
        <w:t>18АП-188</w:t>
      </w:r>
      <w:r>
        <w:t>4/2017 по делу №А76-26039/2014.</w:t>
      </w:r>
    </w:p>
  </w:footnote>
  <w:footnote w:id="4">
    <w:p w14:paraId="5DC02A6C" w14:textId="60A9E9B7" w:rsidR="006B3B47" w:rsidRDefault="006B3B47" w:rsidP="00CD05F5">
      <w:pPr>
        <w:pStyle w:val="af"/>
        <w:jc w:val="both"/>
      </w:pPr>
      <w:r>
        <w:rPr>
          <w:rStyle w:val="af1"/>
        </w:rPr>
        <w:footnoteRef/>
      </w:r>
      <w:r>
        <w:t xml:space="preserve"> Постановление пленума ВАС РФ от 04.04.2014 №23 «О некоторых вопросах практики применения арбитражными судами законодательства об экспертизе».</w:t>
      </w:r>
    </w:p>
  </w:footnote>
  <w:footnote w:id="5">
    <w:p w14:paraId="7C16E6CA" w14:textId="7E72A501" w:rsidR="006B3B47" w:rsidRDefault="006B3B47" w:rsidP="0011252E">
      <w:pPr>
        <w:pStyle w:val="af"/>
        <w:jc w:val="both"/>
      </w:pPr>
      <w:r>
        <w:rPr>
          <w:rStyle w:val="af1"/>
        </w:rPr>
        <w:footnoteRef/>
      </w:r>
      <w:r>
        <w:t xml:space="preserve"> «</w:t>
      </w:r>
      <w:r w:rsidRPr="00EC2643">
        <w:t>Обзор судебной практики по применению законодательства, регулирующего назначение и проведение экспертизы по гражданским делам</w:t>
      </w:r>
      <w:r>
        <w:t>»</w:t>
      </w:r>
      <w:r w:rsidRPr="00EC2643">
        <w:t xml:space="preserve"> (утв. Президиумом В</w:t>
      </w:r>
      <w:r>
        <w:t>С</w:t>
      </w:r>
      <w:r w:rsidRPr="00EC2643">
        <w:t xml:space="preserve"> РФ 14.12.2011)</w:t>
      </w:r>
      <w:r>
        <w:t>.</w:t>
      </w:r>
    </w:p>
  </w:footnote>
  <w:footnote w:id="6">
    <w:p w14:paraId="4B5EDFFD" w14:textId="035FE38C" w:rsidR="00492CD0" w:rsidRDefault="00492CD0" w:rsidP="0011252E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D96C44">
        <w:t>Постановление Пленума В</w:t>
      </w:r>
      <w:r>
        <w:t>С</w:t>
      </w:r>
      <w:r w:rsidRPr="00D96C44">
        <w:t xml:space="preserve"> Р</w:t>
      </w:r>
      <w:r>
        <w:t>Ф</w:t>
      </w:r>
      <w:r w:rsidRPr="00D96C44">
        <w:t xml:space="preserve"> от 21</w:t>
      </w:r>
      <w:r>
        <w:t>.12.</w:t>
      </w:r>
      <w:r w:rsidRPr="00D96C44">
        <w:t>2010</w:t>
      </w:r>
      <w:r>
        <w:t xml:space="preserve"> №</w:t>
      </w:r>
      <w:r w:rsidRPr="00D96C44">
        <w:t>28 «О судебной экспертизе по уголовным делам»</w:t>
      </w:r>
      <w:r>
        <w:t>.</w:t>
      </w:r>
    </w:p>
  </w:footnote>
  <w:footnote w:id="7">
    <w:p w14:paraId="11C3D9DC" w14:textId="707CFF21" w:rsidR="00492CD0" w:rsidRDefault="00492CD0" w:rsidP="0011252E">
      <w:pPr>
        <w:pStyle w:val="af"/>
        <w:jc w:val="both"/>
      </w:pPr>
      <w:r>
        <w:rPr>
          <w:rStyle w:val="af1"/>
        </w:rPr>
        <w:footnoteRef/>
      </w:r>
      <w:r>
        <w:t xml:space="preserve"> Постановление Пленума ВС РФ от 21.12.2010 №28 «О судебной экспертизе по уголовным делам».</w:t>
      </w:r>
    </w:p>
  </w:footnote>
  <w:footnote w:id="8">
    <w:p w14:paraId="5EA03D0C" w14:textId="6441E750" w:rsidR="006B3B47" w:rsidRDefault="006B3B47" w:rsidP="00C91AEA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D96C44">
        <w:t xml:space="preserve">Федеральный закон от 29.12.2012 </w:t>
      </w:r>
      <w:r>
        <w:t>№</w:t>
      </w:r>
      <w:r w:rsidRPr="00D96C44">
        <w:t xml:space="preserve">273-ФЗ </w:t>
      </w:r>
      <w:r>
        <w:t>«</w:t>
      </w:r>
      <w:r w:rsidRPr="00D96C44">
        <w:t>Об образовании в Российской Федерации</w:t>
      </w:r>
      <w:r>
        <w:t>».</w:t>
      </w:r>
    </w:p>
  </w:footnote>
  <w:footnote w:id="9">
    <w:p w14:paraId="4452ED65" w14:textId="4F53C4D3" w:rsidR="006B3B47" w:rsidRDefault="006B3B47" w:rsidP="00C91AEA">
      <w:pPr>
        <w:pStyle w:val="af"/>
        <w:jc w:val="both"/>
      </w:pPr>
      <w:r>
        <w:rPr>
          <w:rStyle w:val="af1"/>
        </w:rPr>
        <w:footnoteRef/>
      </w:r>
      <w:r>
        <w:t xml:space="preserve"> Митрофанова К. А. Понятия компетенции и компетентности в высшем медицинском образовании России / К. А. Митрофанова // Научный диалог. — 2016. — № 1 (49). — С. 285—297.</w:t>
      </w:r>
    </w:p>
  </w:footnote>
  <w:footnote w:id="10">
    <w:p w14:paraId="2F4EDBF5" w14:textId="7851B504" w:rsidR="006B3B47" w:rsidRDefault="006B3B47" w:rsidP="006E7228">
      <w:pPr>
        <w:pStyle w:val="af"/>
      </w:pPr>
      <w:r>
        <w:rPr>
          <w:rStyle w:val="af1"/>
        </w:rPr>
        <w:footnoteRef/>
      </w:r>
      <w:r>
        <w:t xml:space="preserve"> </w:t>
      </w:r>
      <w:r w:rsidRPr="008F661F">
        <w:t xml:space="preserve">Федеральный закон от 05.04.2013 </w:t>
      </w:r>
      <w:r>
        <w:t>№</w:t>
      </w:r>
      <w:r w:rsidRPr="008F661F">
        <w:t xml:space="preserve">44-ФЗ </w:t>
      </w:r>
      <w:r>
        <w:t>«</w:t>
      </w:r>
      <w:r w:rsidRPr="008F661F">
        <w:t>О контрактной системе в сфере закупок товаров, работ, услуг для обеспечения государ</w:t>
      </w:r>
      <w:r>
        <w:t xml:space="preserve">ственных и муниципальных нужд» </w:t>
      </w:r>
    </w:p>
  </w:footnote>
  <w:footnote w:id="11">
    <w:p w14:paraId="7F59211D" w14:textId="780237A9" w:rsidR="006B3B47" w:rsidRDefault="006B3B47" w:rsidP="006E7228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8F661F">
        <w:t xml:space="preserve">Постановление Правительства РФ от 28.11.2013 </w:t>
      </w:r>
      <w:r>
        <w:t>№</w:t>
      </w:r>
      <w:r w:rsidRPr="008F661F">
        <w:t xml:space="preserve">1085 </w:t>
      </w:r>
      <w:r>
        <w:t>«</w:t>
      </w:r>
      <w:r w:rsidRPr="008F661F">
        <w:t>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</w:t>
      </w:r>
      <w:r>
        <w:t>».</w:t>
      </w:r>
    </w:p>
  </w:footnote>
  <w:footnote w:id="12">
    <w:p w14:paraId="0CFDE70E" w14:textId="76C3B88B" w:rsidR="00B97E8E" w:rsidRDefault="00B97E8E" w:rsidP="00B97E8E">
      <w:pPr>
        <w:pStyle w:val="af"/>
        <w:jc w:val="both"/>
      </w:pPr>
      <w:r>
        <w:rPr>
          <w:rStyle w:val="af1"/>
        </w:rPr>
        <w:footnoteRef/>
      </w:r>
      <w:r>
        <w:t xml:space="preserve">  П</w:t>
      </w:r>
      <w:r w:rsidRPr="00B97E8E">
        <w:t>остановлени</w:t>
      </w:r>
      <w:r>
        <w:t>е</w:t>
      </w:r>
      <w:r w:rsidRPr="00B97E8E">
        <w:t xml:space="preserve"> Правительства Российской Федерации от 28 ноября 2013 г. N 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нужд"</w:t>
      </w:r>
    </w:p>
  </w:footnote>
  <w:footnote w:id="13">
    <w:p w14:paraId="3533A4C4" w14:textId="67ABC677" w:rsidR="006B3B47" w:rsidRDefault="006B3B47" w:rsidP="0011252E">
      <w:pPr>
        <w:pStyle w:val="af"/>
        <w:jc w:val="both"/>
      </w:pPr>
      <w:r>
        <w:rPr>
          <w:rStyle w:val="af1"/>
        </w:rPr>
        <w:footnoteRef/>
      </w:r>
      <w:r>
        <w:t xml:space="preserve"> «</w:t>
      </w:r>
      <w:r w:rsidRPr="003976BF">
        <w:t>Обзор практики рассмотрения судами дел, связанных с применением отдельных положений раздела V.1 и ст</w:t>
      </w:r>
      <w:r>
        <w:t>.</w:t>
      </w:r>
      <w:r w:rsidRPr="003976BF">
        <w:t xml:space="preserve"> 269 Н</w:t>
      </w:r>
      <w:r>
        <w:t>К</w:t>
      </w:r>
      <w:r w:rsidRPr="003976BF">
        <w:t xml:space="preserve"> Р</w:t>
      </w:r>
      <w:r>
        <w:t>Ф»</w:t>
      </w:r>
      <w:r w:rsidRPr="003976BF">
        <w:t xml:space="preserve"> (утв. Президиумом В</w:t>
      </w:r>
      <w:r>
        <w:t>С</w:t>
      </w:r>
      <w:r w:rsidRPr="003976BF">
        <w:t xml:space="preserve"> РФ 16.02.2017)</w:t>
      </w:r>
      <w:r>
        <w:t>.</w:t>
      </w:r>
    </w:p>
  </w:footnote>
  <w:footnote w:id="14">
    <w:p w14:paraId="7A2C1A44" w14:textId="77777777" w:rsidR="007E414D" w:rsidRDefault="007E414D" w:rsidP="007E414D">
      <w:pPr>
        <w:pStyle w:val="af"/>
      </w:pPr>
      <w:r>
        <w:rPr>
          <w:rStyle w:val="af1"/>
        </w:rPr>
        <w:footnoteRef/>
      </w:r>
      <w:r>
        <w:t xml:space="preserve"> </w:t>
      </w:r>
      <w:r w:rsidRPr="00461E35">
        <w:t>Постановление Восьмого арбитражного апелляционного суда от 09.09.2016 N 08АП-14/2016, 08АП-231/2016, 08АП-233/2016, 08АП-235/2016, 08АП-237/2016, 08АП-239/2016, 08АП-242/2016, 08АП-444/2016 по делу N А70-245/2015</w:t>
      </w:r>
      <w:r>
        <w:t>.</w:t>
      </w:r>
    </w:p>
  </w:footnote>
  <w:footnote w:id="15">
    <w:p w14:paraId="08F8ADB3" w14:textId="77777777" w:rsidR="007E414D" w:rsidRDefault="007E414D" w:rsidP="007E414D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C206C8">
        <w:t>Письмо Минэкономразвития России от 04.05.2017 N Д28и-2019</w:t>
      </w:r>
      <w:r>
        <w:t xml:space="preserve"> «</w:t>
      </w:r>
      <w:r w:rsidRPr="00C206C8">
        <w:t>О применении в качестве показателя критерия оценки заявок наличия у участников закупки опыта по успешному выполнению работ сопоставимых характера и объема</w:t>
      </w:r>
      <w:r>
        <w:t>».</w:t>
      </w:r>
    </w:p>
  </w:footnote>
  <w:footnote w:id="16">
    <w:p w14:paraId="786CEF95" w14:textId="095E0281" w:rsidR="006B3B47" w:rsidRDefault="006B3B47" w:rsidP="00471955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E47A8F">
        <w:rPr>
          <w:rFonts w:ascii="Calibri" w:eastAsia="Times New Roman" w:hAnsi="Calibri" w:cs="Times New Roman"/>
        </w:rPr>
        <w:t xml:space="preserve">Постановление Десятого </w:t>
      </w:r>
      <w:r>
        <w:rPr>
          <w:rFonts w:ascii="Calibri" w:eastAsia="Times New Roman" w:hAnsi="Calibri" w:cs="Times New Roman"/>
        </w:rPr>
        <w:t>ААС</w:t>
      </w:r>
      <w:r w:rsidRPr="00E47A8F">
        <w:rPr>
          <w:rFonts w:ascii="Calibri" w:eastAsia="Times New Roman" w:hAnsi="Calibri" w:cs="Times New Roman"/>
        </w:rPr>
        <w:t xml:space="preserve"> от 18.04.2017 </w:t>
      </w:r>
      <w:r>
        <w:rPr>
          <w:rFonts w:ascii="Calibri" w:eastAsia="Times New Roman" w:hAnsi="Calibri" w:cs="Times New Roman"/>
        </w:rPr>
        <w:t>№</w:t>
      </w:r>
      <w:r w:rsidRPr="00E47A8F">
        <w:rPr>
          <w:rFonts w:ascii="Calibri" w:eastAsia="Times New Roman" w:hAnsi="Calibri" w:cs="Times New Roman"/>
        </w:rPr>
        <w:t xml:space="preserve">10АП-2689/2017 по делу </w:t>
      </w:r>
      <w:r>
        <w:rPr>
          <w:rFonts w:ascii="Calibri" w:eastAsia="Times New Roman" w:hAnsi="Calibri" w:cs="Times New Roman"/>
        </w:rPr>
        <w:t>№</w:t>
      </w:r>
      <w:r w:rsidRPr="00E47A8F">
        <w:rPr>
          <w:rFonts w:ascii="Calibri" w:eastAsia="Times New Roman" w:hAnsi="Calibri" w:cs="Times New Roman"/>
        </w:rPr>
        <w:t xml:space="preserve">А41-32384/15, Постановление Восемнадцатого арбитражного апелляционного суда от 13.03.2017 </w:t>
      </w:r>
      <w:r>
        <w:rPr>
          <w:rFonts w:ascii="Calibri" w:eastAsia="Times New Roman" w:hAnsi="Calibri" w:cs="Times New Roman"/>
        </w:rPr>
        <w:t>№</w:t>
      </w:r>
      <w:r w:rsidRPr="00E47A8F">
        <w:rPr>
          <w:rFonts w:ascii="Calibri" w:eastAsia="Times New Roman" w:hAnsi="Calibri" w:cs="Times New Roman"/>
        </w:rPr>
        <w:t>18АП-188</w:t>
      </w:r>
      <w:r>
        <w:rPr>
          <w:rFonts w:ascii="Calibri" w:eastAsia="Times New Roman" w:hAnsi="Calibri" w:cs="Times New Roman"/>
        </w:rPr>
        <w:t>4/2017 по делу №А76-26039/2014.</w:t>
      </w:r>
    </w:p>
  </w:footnote>
  <w:footnote w:id="17">
    <w:p w14:paraId="06301F51" w14:textId="7692C63B" w:rsidR="006B3B47" w:rsidRDefault="006B3B47" w:rsidP="00471955">
      <w:pPr>
        <w:pStyle w:val="af"/>
      </w:pPr>
      <w:r>
        <w:rPr>
          <w:rStyle w:val="af1"/>
        </w:rPr>
        <w:footnoteRef/>
      </w:r>
      <w:r>
        <w:t xml:space="preserve"> </w:t>
      </w:r>
      <w:r w:rsidRPr="00412FC4">
        <w:t xml:space="preserve">Определение </w:t>
      </w:r>
      <w:r>
        <w:t>АС</w:t>
      </w:r>
      <w:r w:rsidRPr="00412FC4">
        <w:t xml:space="preserve"> Орловской области от 16.11.2018 по делу № А48-249/2017(А)</w:t>
      </w:r>
      <w:r>
        <w:t>.</w:t>
      </w:r>
    </w:p>
  </w:footnote>
  <w:footnote w:id="18">
    <w:p w14:paraId="1D3B4063" w14:textId="4DF16B90" w:rsidR="006B3B47" w:rsidRDefault="006B3B47" w:rsidP="00471955">
      <w:pPr>
        <w:pStyle w:val="af"/>
      </w:pPr>
      <w:r>
        <w:rPr>
          <w:rStyle w:val="af1"/>
        </w:rPr>
        <w:footnoteRef/>
      </w:r>
      <w:r>
        <w:t xml:space="preserve"> </w:t>
      </w:r>
      <w:r w:rsidRPr="00DB1675">
        <w:rPr>
          <w:rFonts w:ascii="Calibri" w:eastAsia="Calibri" w:hAnsi="Calibri" w:cs="Times New Roman"/>
        </w:rPr>
        <w:t xml:space="preserve">Постановление Восемнадцатого </w:t>
      </w:r>
      <w:r>
        <w:rPr>
          <w:rFonts w:ascii="Calibri" w:eastAsia="Calibri" w:hAnsi="Calibri" w:cs="Times New Roman"/>
        </w:rPr>
        <w:t>ААС</w:t>
      </w:r>
      <w:r w:rsidRPr="00DB1675">
        <w:rPr>
          <w:rFonts w:ascii="Calibri" w:eastAsia="Calibri" w:hAnsi="Calibri" w:cs="Times New Roman"/>
        </w:rPr>
        <w:t xml:space="preserve"> от 21.03.2018 </w:t>
      </w:r>
      <w:r>
        <w:rPr>
          <w:rFonts w:ascii="Calibri" w:eastAsia="Calibri" w:hAnsi="Calibri" w:cs="Times New Roman"/>
        </w:rPr>
        <w:t>№</w:t>
      </w:r>
      <w:r w:rsidRPr="00DB1675">
        <w:rPr>
          <w:rFonts w:ascii="Calibri" w:eastAsia="Calibri" w:hAnsi="Calibri" w:cs="Times New Roman"/>
        </w:rPr>
        <w:t>18АП-269</w:t>
      </w:r>
      <w:r>
        <w:rPr>
          <w:rFonts w:ascii="Calibri" w:eastAsia="Calibri" w:hAnsi="Calibri" w:cs="Times New Roman"/>
        </w:rPr>
        <w:t>1/2018 по делу №А34-7859/2014.</w:t>
      </w:r>
    </w:p>
  </w:footnote>
  <w:footnote w:id="19">
    <w:p w14:paraId="6A23DD56" w14:textId="77777777" w:rsidR="00AD07C1" w:rsidRDefault="00AD07C1" w:rsidP="00AD07C1">
      <w:pPr>
        <w:pStyle w:val="af"/>
        <w:jc w:val="both"/>
      </w:pPr>
      <w:r>
        <w:rPr>
          <w:rStyle w:val="af1"/>
        </w:rPr>
        <w:footnoteRef/>
      </w:r>
      <w:r>
        <w:t xml:space="preserve"> Приказ ФБУ РФЦСЭ при Минюсте России «Об установлении стоимости экспертного часа и утверждении Перечня платных работ, выполняемых сверх государственного задания при производстве судебных экспертиз по гражданским, арбитражным делам и по делам об административных правонарушениях» от 08.02.2019 № 34/1-1.</w:t>
      </w:r>
    </w:p>
  </w:footnote>
  <w:footnote w:id="20">
    <w:p w14:paraId="0C48E43B" w14:textId="77777777" w:rsidR="00E17277" w:rsidRDefault="00E17277" w:rsidP="007B5F76">
      <w:pPr>
        <w:pStyle w:val="af"/>
        <w:jc w:val="both"/>
      </w:pPr>
      <w:r>
        <w:rPr>
          <w:rStyle w:val="af1"/>
        </w:rPr>
        <w:footnoteRef/>
      </w:r>
      <w:r>
        <w:t xml:space="preserve"> Например, </w:t>
      </w:r>
      <w:r w:rsidRPr="008243EA">
        <w:t xml:space="preserve">Постановление Двадцатого </w:t>
      </w:r>
      <w:r>
        <w:t>ААС</w:t>
      </w:r>
      <w:r w:rsidRPr="008243EA">
        <w:t xml:space="preserve"> от 04.07.2018 N 20АП-3326/2018 по делу N А23-1030/2016</w:t>
      </w:r>
      <w:r>
        <w:t xml:space="preserve">; </w:t>
      </w:r>
      <w:r w:rsidRPr="00B734D3">
        <w:t xml:space="preserve">Постановление Тринадцатого </w:t>
      </w:r>
      <w:r>
        <w:t>ААС</w:t>
      </w:r>
      <w:r w:rsidRPr="00B734D3">
        <w:t xml:space="preserve"> от 27.12.2018 </w:t>
      </w:r>
      <w:r>
        <w:t>№</w:t>
      </w:r>
      <w:r w:rsidRPr="00B734D3">
        <w:t xml:space="preserve">13АП-31561/2018 по делу </w:t>
      </w:r>
      <w:r>
        <w:t>№</w:t>
      </w:r>
      <w:r w:rsidRPr="00B734D3">
        <w:t>А56-61750/2018</w:t>
      </w:r>
      <w:r>
        <w:t>.</w:t>
      </w:r>
    </w:p>
  </w:footnote>
  <w:footnote w:id="21">
    <w:p w14:paraId="6368522B" w14:textId="77777777" w:rsidR="00E17277" w:rsidRDefault="00E17277" w:rsidP="007B5F76">
      <w:pPr>
        <w:pStyle w:val="af"/>
      </w:pPr>
      <w:r>
        <w:rPr>
          <w:rStyle w:val="af1"/>
        </w:rPr>
        <w:footnoteRef/>
      </w:r>
      <w:r>
        <w:t xml:space="preserve"> </w:t>
      </w:r>
      <w:r w:rsidRPr="00205E46">
        <w:t>Определение Арбитражного суда Орловской области от 16.11.2018 по делу № А48-249/2017(А)</w:t>
      </w:r>
      <w:r>
        <w:t>.</w:t>
      </w:r>
    </w:p>
  </w:footnote>
  <w:footnote w:id="22">
    <w:p w14:paraId="3425384E" w14:textId="77777777" w:rsidR="00E17277" w:rsidRDefault="00E17277" w:rsidP="007B5F76">
      <w:pPr>
        <w:pStyle w:val="af"/>
        <w:jc w:val="both"/>
      </w:pPr>
      <w:r>
        <w:rPr>
          <w:rStyle w:val="af1"/>
        </w:rPr>
        <w:footnoteRef/>
      </w:r>
      <w:r>
        <w:t xml:space="preserve"> Определение Пятнадцатого арбитражного апелляционного суда от 16.07.2018 по делу № </w:t>
      </w:r>
      <w:r w:rsidRPr="00032224">
        <w:t>15АП-20305/2017</w:t>
      </w:r>
      <w:r>
        <w:t>.</w:t>
      </w:r>
    </w:p>
  </w:footnote>
  <w:footnote w:id="23">
    <w:p w14:paraId="62E5F6BB" w14:textId="2DD65827" w:rsidR="006B3B47" w:rsidRDefault="006B3B47" w:rsidP="00C91AEA">
      <w:pPr>
        <w:pStyle w:val="af"/>
        <w:jc w:val="both"/>
      </w:pPr>
      <w:r>
        <w:rPr>
          <w:rStyle w:val="af1"/>
        </w:rPr>
        <w:footnoteRef/>
      </w:r>
      <w:r>
        <w:t xml:space="preserve"> Определение А</w:t>
      </w:r>
      <w:r w:rsidR="00236ECB">
        <w:t>С</w:t>
      </w:r>
      <w:r>
        <w:t xml:space="preserve"> Орловской области от 16.11.2018 по делу № </w:t>
      </w:r>
      <w:r w:rsidRPr="00F021E7">
        <w:t>А48-249/2017(А)</w:t>
      </w:r>
      <w:r>
        <w:t xml:space="preserve">: </w:t>
      </w:r>
      <w:r w:rsidRPr="00AF0DCD">
        <w:t xml:space="preserve">«судом при сопоставлении кандидатур экспертов приняты во внимание и периоды страхования ответственности оценщиков при осуществлении оценочной деятельности (у ИП </w:t>
      </w:r>
      <w:proofErr w:type="spellStart"/>
      <w:r w:rsidRPr="00AF0DCD">
        <w:t>Шарыкиной</w:t>
      </w:r>
      <w:proofErr w:type="spellEnd"/>
      <w:r w:rsidRPr="00AF0DCD">
        <w:t xml:space="preserve"> страховка истекает 17</w:t>
      </w:r>
      <w:r>
        <w:t>.12.</w:t>
      </w:r>
      <w:r w:rsidRPr="00AF0DCD">
        <w:t>2018, а у экспертов ООО «Стандарт АВИР» 31</w:t>
      </w:r>
      <w:r>
        <w:t>.12.</w:t>
      </w:r>
      <w:r w:rsidRPr="00AF0DCD">
        <w:t>2018 и 31</w:t>
      </w:r>
      <w:r>
        <w:t>.05.</w:t>
      </w:r>
      <w:r w:rsidRPr="00AF0DCD">
        <w:t>2019), поскольку суд не может исключить возникновения необходимости продления срока проведения экспертизы…»</w:t>
      </w:r>
      <w:r>
        <w:t>.</w:t>
      </w:r>
    </w:p>
  </w:footnote>
  <w:footnote w:id="24">
    <w:p w14:paraId="2FE07A55" w14:textId="77777777" w:rsidR="00624AA0" w:rsidRDefault="00624AA0" w:rsidP="00624AA0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351E67">
        <w:t xml:space="preserve">Федеральный закон от 31.05.2001 </w:t>
      </w:r>
      <w:r>
        <w:t>№</w:t>
      </w:r>
      <w:r w:rsidRPr="00351E67">
        <w:t xml:space="preserve">73-ФЗ </w:t>
      </w:r>
      <w:r>
        <w:t>«</w:t>
      </w:r>
      <w:r w:rsidRPr="00351E67">
        <w:t>О государственной судебно-экспертной деятельности в Р</w:t>
      </w:r>
      <w:r>
        <w:t>Ф».</w:t>
      </w:r>
    </w:p>
  </w:footnote>
  <w:footnote w:id="25">
    <w:p w14:paraId="642BA8C4" w14:textId="77777777" w:rsidR="00C91E0C" w:rsidRDefault="00C91E0C" w:rsidP="00C91E0C">
      <w:pPr>
        <w:pStyle w:val="af"/>
        <w:jc w:val="both"/>
      </w:pPr>
      <w:r>
        <w:rPr>
          <w:rStyle w:val="af1"/>
        </w:rPr>
        <w:footnoteRef/>
      </w:r>
      <w:r>
        <w:t xml:space="preserve"> При этом факт наличия жалоб на деятельность эксперта не является основанием для отвода, поскольку они могут быть необоснованными.</w:t>
      </w:r>
    </w:p>
  </w:footnote>
  <w:footnote w:id="26">
    <w:p w14:paraId="795D7B51" w14:textId="46EA488D" w:rsidR="00C91E0C" w:rsidRDefault="00C91E0C" w:rsidP="007920FC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="007071B9">
        <w:t>Особенное внимание рекомендуется уделять последним трем годам, так как л</w:t>
      </w:r>
      <w:r>
        <w:t xml:space="preserve">ицо не может быть принято в члены саморегулируемой организации оценщиков, если с даты его исключения </w:t>
      </w:r>
      <w:r w:rsidRPr="00C91E0C">
        <w:t>из членов любой из саморегулируемых организаций оценщиков за нарушение требований</w:t>
      </w:r>
      <w:r>
        <w:t xml:space="preserve"> законодательства об оценочной деятельности прошло менее, чем три года (ст. 24 ФЗ № 135-ФЗ).</w:t>
      </w:r>
      <w:r w:rsidR="007450ED">
        <w:t xml:space="preserve"> По истечении данного срока оценщик может вступать в любую </w:t>
      </w:r>
      <w:r w:rsidR="007450ED" w:rsidRPr="007450ED">
        <w:t>саморегулируем</w:t>
      </w:r>
      <w:r w:rsidR="007450ED">
        <w:t>ую</w:t>
      </w:r>
      <w:r w:rsidR="007450ED" w:rsidRPr="007450ED">
        <w:t xml:space="preserve"> организаци</w:t>
      </w:r>
      <w:r w:rsidR="007450ED">
        <w:t>ю</w:t>
      </w:r>
      <w:r w:rsidR="007450ED" w:rsidRPr="007450ED">
        <w:t xml:space="preserve"> оценщиков</w:t>
      </w:r>
      <w:r w:rsidR="007450ED">
        <w:t xml:space="preserve"> и далее осуществлять оценочную деятельно</w:t>
      </w:r>
      <w:r w:rsidR="007450ED" w:rsidRPr="0050201D">
        <w:t>сть.</w:t>
      </w:r>
    </w:p>
  </w:footnote>
  <w:footnote w:id="27">
    <w:p w14:paraId="43B0E6D5" w14:textId="77777777" w:rsidR="006B3B47" w:rsidRDefault="006B3B47" w:rsidP="00471B9D">
      <w:pPr>
        <w:pStyle w:val="af"/>
      </w:pPr>
      <w:r>
        <w:rPr>
          <w:rStyle w:val="af1"/>
        </w:rPr>
        <w:footnoteRef/>
      </w:r>
      <w:r>
        <w:t xml:space="preserve"> </w:t>
      </w:r>
      <w:r w:rsidRPr="00600142">
        <w:t>Консультация эксперта, Межрегиональная ИФНС России по крупнейшим налогоплательщикам, 2017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C94F" w14:textId="755B4292" w:rsidR="00A2491A" w:rsidRDefault="00A2491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2B44" w14:textId="4915CA9B" w:rsidR="00A2491A" w:rsidRDefault="00A2491A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38966" w14:textId="192D2E70" w:rsidR="00A2491A" w:rsidRDefault="00A2491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FF4"/>
    <w:multiLevelType w:val="multilevel"/>
    <w:tmpl w:val="6DA487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AA1596B"/>
    <w:multiLevelType w:val="hybridMultilevel"/>
    <w:tmpl w:val="2C8447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52B2C85"/>
    <w:multiLevelType w:val="hybridMultilevel"/>
    <w:tmpl w:val="6B8EA568"/>
    <w:lvl w:ilvl="0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" w15:restartNumberingAfterBreak="0">
    <w:nsid w:val="3B8B1087"/>
    <w:multiLevelType w:val="hybridMultilevel"/>
    <w:tmpl w:val="65AC0812"/>
    <w:lvl w:ilvl="0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" w15:restartNumberingAfterBreak="0">
    <w:nsid w:val="444E37A6"/>
    <w:multiLevelType w:val="multilevel"/>
    <w:tmpl w:val="57749726"/>
    <w:lvl w:ilvl="0">
      <w:start w:val="1"/>
      <w:numFmt w:val="decimal"/>
      <w:lvlText w:val="%1."/>
      <w:lvlJc w:val="left"/>
      <w:pPr>
        <w:ind w:left="1845" w:hanging="360"/>
      </w:pPr>
    </w:lvl>
    <w:lvl w:ilvl="1">
      <w:start w:val="1"/>
      <w:numFmt w:val="decimal"/>
      <w:isLgl/>
      <w:lvlText w:val="%1.%2.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5" w:hanging="1800"/>
      </w:pPr>
      <w:rPr>
        <w:rFonts w:hint="default"/>
      </w:rPr>
    </w:lvl>
  </w:abstractNum>
  <w:abstractNum w:abstractNumId="5" w15:restartNumberingAfterBreak="0">
    <w:nsid w:val="4844296A"/>
    <w:multiLevelType w:val="hybridMultilevel"/>
    <w:tmpl w:val="215649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AA0EA5"/>
    <w:multiLevelType w:val="hybridMultilevel"/>
    <w:tmpl w:val="154A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124B7"/>
    <w:multiLevelType w:val="multilevel"/>
    <w:tmpl w:val="937CAA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8" w15:restartNumberingAfterBreak="0">
    <w:nsid w:val="5D7B0B05"/>
    <w:multiLevelType w:val="multilevel"/>
    <w:tmpl w:val="57749726"/>
    <w:lvl w:ilvl="0">
      <w:start w:val="1"/>
      <w:numFmt w:val="decimal"/>
      <w:lvlText w:val="%1."/>
      <w:lvlJc w:val="left"/>
      <w:pPr>
        <w:ind w:left="1845" w:hanging="360"/>
      </w:pPr>
    </w:lvl>
    <w:lvl w:ilvl="1">
      <w:start w:val="1"/>
      <w:numFmt w:val="decimal"/>
      <w:isLgl/>
      <w:lvlText w:val="%1.%2.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5" w:hanging="1800"/>
      </w:pPr>
      <w:rPr>
        <w:rFonts w:hint="default"/>
      </w:rPr>
    </w:lvl>
  </w:abstractNum>
  <w:abstractNum w:abstractNumId="9" w15:restartNumberingAfterBreak="0">
    <w:nsid w:val="66807CD5"/>
    <w:multiLevelType w:val="hybridMultilevel"/>
    <w:tmpl w:val="F050AF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EDC48F4"/>
    <w:multiLevelType w:val="multilevel"/>
    <w:tmpl w:val="57749726"/>
    <w:lvl w:ilvl="0">
      <w:start w:val="1"/>
      <w:numFmt w:val="decimal"/>
      <w:lvlText w:val="%1."/>
      <w:lvlJc w:val="left"/>
      <w:pPr>
        <w:ind w:left="1845" w:hanging="360"/>
      </w:pPr>
    </w:lvl>
    <w:lvl w:ilvl="1">
      <w:start w:val="1"/>
      <w:numFmt w:val="decimal"/>
      <w:isLgl/>
      <w:lvlText w:val="%1.%2.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5" w:hanging="1800"/>
      </w:pPr>
      <w:rPr>
        <w:rFonts w:hint="default"/>
      </w:rPr>
    </w:lvl>
  </w:abstractNum>
  <w:abstractNum w:abstractNumId="11" w15:restartNumberingAfterBreak="0">
    <w:nsid w:val="718F3FD9"/>
    <w:multiLevelType w:val="hybridMultilevel"/>
    <w:tmpl w:val="599E73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7F675BB"/>
    <w:multiLevelType w:val="hybridMultilevel"/>
    <w:tmpl w:val="C6261DE0"/>
    <w:lvl w:ilvl="0" w:tplc="3502FD38">
      <w:numFmt w:val="bullet"/>
      <w:lvlText w:val="•"/>
      <w:lvlJc w:val="left"/>
      <w:pPr>
        <w:ind w:left="2129" w:hanging="57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34B96"/>
    <w:multiLevelType w:val="hybridMultilevel"/>
    <w:tmpl w:val="F340A848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12"/>
  </w:num>
  <w:num w:numId="10">
    <w:abstractNumId w:val="2"/>
  </w:num>
  <w:num w:numId="11">
    <w:abstractNumId w:val="7"/>
  </w:num>
  <w:num w:numId="12">
    <w:abstractNumId w:val="0"/>
  </w:num>
  <w:num w:numId="13">
    <w:abstractNumId w:val="5"/>
  </w:num>
  <w:num w:numId="1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0B"/>
    <w:rsid w:val="00032224"/>
    <w:rsid w:val="00050707"/>
    <w:rsid w:val="000544B4"/>
    <w:rsid w:val="00057073"/>
    <w:rsid w:val="00061CA9"/>
    <w:rsid w:val="0007678E"/>
    <w:rsid w:val="00076FC8"/>
    <w:rsid w:val="00080E1C"/>
    <w:rsid w:val="000833A7"/>
    <w:rsid w:val="00091BCB"/>
    <w:rsid w:val="000A436E"/>
    <w:rsid w:val="000B35FA"/>
    <w:rsid w:val="000B45AC"/>
    <w:rsid w:val="000C1594"/>
    <w:rsid w:val="000C3CBC"/>
    <w:rsid w:val="000D06C3"/>
    <w:rsid w:val="000D6EF6"/>
    <w:rsid w:val="000F59AC"/>
    <w:rsid w:val="00103FC4"/>
    <w:rsid w:val="00105479"/>
    <w:rsid w:val="00110BB6"/>
    <w:rsid w:val="0011252E"/>
    <w:rsid w:val="0012523B"/>
    <w:rsid w:val="001260E4"/>
    <w:rsid w:val="00131F0E"/>
    <w:rsid w:val="001530F3"/>
    <w:rsid w:val="00157FBA"/>
    <w:rsid w:val="00160E56"/>
    <w:rsid w:val="00162120"/>
    <w:rsid w:val="00165852"/>
    <w:rsid w:val="00170C8D"/>
    <w:rsid w:val="001824C3"/>
    <w:rsid w:val="00191714"/>
    <w:rsid w:val="001A107F"/>
    <w:rsid w:val="001A23FB"/>
    <w:rsid w:val="001A540E"/>
    <w:rsid w:val="001A644B"/>
    <w:rsid w:val="001B431D"/>
    <w:rsid w:val="001E28FC"/>
    <w:rsid w:val="001E42EA"/>
    <w:rsid w:val="001F1210"/>
    <w:rsid w:val="001F764E"/>
    <w:rsid w:val="00205E46"/>
    <w:rsid w:val="00207C27"/>
    <w:rsid w:val="00236ECB"/>
    <w:rsid w:val="00245044"/>
    <w:rsid w:val="00276408"/>
    <w:rsid w:val="00294525"/>
    <w:rsid w:val="00296268"/>
    <w:rsid w:val="002A288D"/>
    <w:rsid w:val="002A2F34"/>
    <w:rsid w:val="002B62F6"/>
    <w:rsid w:val="002B723B"/>
    <w:rsid w:val="002D0AD1"/>
    <w:rsid w:val="002D244B"/>
    <w:rsid w:val="002D58BF"/>
    <w:rsid w:val="002D621A"/>
    <w:rsid w:val="002E36A5"/>
    <w:rsid w:val="002E75F0"/>
    <w:rsid w:val="002F0AE4"/>
    <w:rsid w:val="002F1D0A"/>
    <w:rsid w:val="002F3277"/>
    <w:rsid w:val="002F6348"/>
    <w:rsid w:val="00303FC4"/>
    <w:rsid w:val="00316FC6"/>
    <w:rsid w:val="00324A39"/>
    <w:rsid w:val="00327471"/>
    <w:rsid w:val="0033242A"/>
    <w:rsid w:val="0035068D"/>
    <w:rsid w:val="00350A05"/>
    <w:rsid w:val="00351E67"/>
    <w:rsid w:val="003571D7"/>
    <w:rsid w:val="00371787"/>
    <w:rsid w:val="00376B19"/>
    <w:rsid w:val="00377C79"/>
    <w:rsid w:val="00393AB1"/>
    <w:rsid w:val="003976BF"/>
    <w:rsid w:val="003A0F16"/>
    <w:rsid w:val="003A59C1"/>
    <w:rsid w:val="003B6A36"/>
    <w:rsid w:val="003D386F"/>
    <w:rsid w:val="003D48A8"/>
    <w:rsid w:val="003D686F"/>
    <w:rsid w:val="003E312A"/>
    <w:rsid w:val="003F5E26"/>
    <w:rsid w:val="004040DA"/>
    <w:rsid w:val="00412FC4"/>
    <w:rsid w:val="004202C2"/>
    <w:rsid w:val="004300E3"/>
    <w:rsid w:val="004352F8"/>
    <w:rsid w:val="00441D0B"/>
    <w:rsid w:val="00461E35"/>
    <w:rsid w:val="00467710"/>
    <w:rsid w:val="00471955"/>
    <w:rsid w:val="00471B9D"/>
    <w:rsid w:val="0047387A"/>
    <w:rsid w:val="004855F3"/>
    <w:rsid w:val="00492CD0"/>
    <w:rsid w:val="004972C7"/>
    <w:rsid w:val="004B751F"/>
    <w:rsid w:val="004C41DD"/>
    <w:rsid w:val="004D228E"/>
    <w:rsid w:val="004D40AB"/>
    <w:rsid w:val="004D57AC"/>
    <w:rsid w:val="004D5842"/>
    <w:rsid w:val="004D7284"/>
    <w:rsid w:val="004E403F"/>
    <w:rsid w:val="004F3220"/>
    <w:rsid w:val="004F69B9"/>
    <w:rsid w:val="0050201D"/>
    <w:rsid w:val="005063A1"/>
    <w:rsid w:val="00507B9F"/>
    <w:rsid w:val="00512FDE"/>
    <w:rsid w:val="00522578"/>
    <w:rsid w:val="00533D31"/>
    <w:rsid w:val="00535FEE"/>
    <w:rsid w:val="00544E67"/>
    <w:rsid w:val="00553C0B"/>
    <w:rsid w:val="0056069A"/>
    <w:rsid w:val="0057787C"/>
    <w:rsid w:val="00577A64"/>
    <w:rsid w:val="005801C0"/>
    <w:rsid w:val="00581C00"/>
    <w:rsid w:val="0058339E"/>
    <w:rsid w:val="00583425"/>
    <w:rsid w:val="005A1B44"/>
    <w:rsid w:val="005C496D"/>
    <w:rsid w:val="005D6DEC"/>
    <w:rsid w:val="005F4676"/>
    <w:rsid w:val="005F5152"/>
    <w:rsid w:val="00600142"/>
    <w:rsid w:val="00605BCD"/>
    <w:rsid w:val="00614CCB"/>
    <w:rsid w:val="00624AA0"/>
    <w:rsid w:val="0062506E"/>
    <w:rsid w:val="00626234"/>
    <w:rsid w:val="006312D2"/>
    <w:rsid w:val="00632A0D"/>
    <w:rsid w:val="0063798E"/>
    <w:rsid w:val="00657D8D"/>
    <w:rsid w:val="0068057C"/>
    <w:rsid w:val="00680C7D"/>
    <w:rsid w:val="006826FC"/>
    <w:rsid w:val="0068540F"/>
    <w:rsid w:val="00687398"/>
    <w:rsid w:val="006A06C7"/>
    <w:rsid w:val="006A3176"/>
    <w:rsid w:val="006B01C8"/>
    <w:rsid w:val="006B0DAE"/>
    <w:rsid w:val="006B2D13"/>
    <w:rsid w:val="006B3B47"/>
    <w:rsid w:val="006D1581"/>
    <w:rsid w:val="006D57AD"/>
    <w:rsid w:val="006E16ED"/>
    <w:rsid w:val="006E69A2"/>
    <w:rsid w:val="006E7228"/>
    <w:rsid w:val="006F38DA"/>
    <w:rsid w:val="006F6721"/>
    <w:rsid w:val="00700C54"/>
    <w:rsid w:val="007071B9"/>
    <w:rsid w:val="007113E3"/>
    <w:rsid w:val="00715994"/>
    <w:rsid w:val="0071665C"/>
    <w:rsid w:val="00736D48"/>
    <w:rsid w:val="0074176C"/>
    <w:rsid w:val="007450ED"/>
    <w:rsid w:val="00751A9F"/>
    <w:rsid w:val="00752724"/>
    <w:rsid w:val="007603FF"/>
    <w:rsid w:val="00764D14"/>
    <w:rsid w:val="0076679E"/>
    <w:rsid w:val="00773120"/>
    <w:rsid w:val="00777831"/>
    <w:rsid w:val="00791C6D"/>
    <w:rsid w:val="007920FC"/>
    <w:rsid w:val="007A211B"/>
    <w:rsid w:val="007B5F76"/>
    <w:rsid w:val="007C0483"/>
    <w:rsid w:val="007C26CE"/>
    <w:rsid w:val="007C35AF"/>
    <w:rsid w:val="007D1BB4"/>
    <w:rsid w:val="007E3BF3"/>
    <w:rsid w:val="007E414D"/>
    <w:rsid w:val="007F4730"/>
    <w:rsid w:val="0081266D"/>
    <w:rsid w:val="00823BAB"/>
    <w:rsid w:val="00835F36"/>
    <w:rsid w:val="0084628F"/>
    <w:rsid w:val="008525FF"/>
    <w:rsid w:val="00854554"/>
    <w:rsid w:val="0086751A"/>
    <w:rsid w:val="0088186F"/>
    <w:rsid w:val="00881AF3"/>
    <w:rsid w:val="0088403D"/>
    <w:rsid w:val="00892364"/>
    <w:rsid w:val="008A2706"/>
    <w:rsid w:val="008A2C14"/>
    <w:rsid w:val="008A5671"/>
    <w:rsid w:val="008B323C"/>
    <w:rsid w:val="008B3A84"/>
    <w:rsid w:val="008C0F09"/>
    <w:rsid w:val="008C588E"/>
    <w:rsid w:val="008F0C12"/>
    <w:rsid w:val="008F3DAE"/>
    <w:rsid w:val="008F661F"/>
    <w:rsid w:val="00902028"/>
    <w:rsid w:val="00917A58"/>
    <w:rsid w:val="00921495"/>
    <w:rsid w:val="00925FFA"/>
    <w:rsid w:val="009472FA"/>
    <w:rsid w:val="009560BC"/>
    <w:rsid w:val="009708AC"/>
    <w:rsid w:val="00973D99"/>
    <w:rsid w:val="009A2DE0"/>
    <w:rsid w:val="009B2F78"/>
    <w:rsid w:val="009C0D4F"/>
    <w:rsid w:val="009C7DAE"/>
    <w:rsid w:val="009D4441"/>
    <w:rsid w:val="009D46E5"/>
    <w:rsid w:val="009D4D94"/>
    <w:rsid w:val="009E3CA0"/>
    <w:rsid w:val="009F0004"/>
    <w:rsid w:val="009F4B05"/>
    <w:rsid w:val="00A016F0"/>
    <w:rsid w:val="00A03035"/>
    <w:rsid w:val="00A15AAB"/>
    <w:rsid w:val="00A223DE"/>
    <w:rsid w:val="00A22B6E"/>
    <w:rsid w:val="00A2491A"/>
    <w:rsid w:val="00A27A2A"/>
    <w:rsid w:val="00A30326"/>
    <w:rsid w:val="00A33237"/>
    <w:rsid w:val="00A478C4"/>
    <w:rsid w:val="00A52818"/>
    <w:rsid w:val="00A77D8B"/>
    <w:rsid w:val="00A93F20"/>
    <w:rsid w:val="00AA578D"/>
    <w:rsid w:val="00AC19CE"/>
    <w:rsid w:val="00AD07C1"/>
    <w:rsid w:val="00AE2B54"/>
    <w:rsid w:val="00AF0DCD"/>
    <w:rsid w:val="00AF0FAE"/>
    <w:rsid w:val="00AF1A94"/>
    <w:rsid w:val="00AF31EA"/>
    <w:rsid w:val="00AF5C6D"/>
    <w:rsid w:val="00B021C2"/>
    <w:rsid w:val="00B03350"/>
    <w:rsid w:val="00B043E1"/>
    <w:rsid w:val="00B062C2"/>
    <w:rsid w:val="00B27F14"/>
    <w:rsid w:val="00B734D3"/>
    <w:rsid w:val="00B76E04"/>
    <w:rsid w:val="00B80EA3"/>
    <w:rsid w:val="00B91A2D"/>
    <w:rsid w:val="00B97E8E"/>
    <w:rsid w:val="00BA3DF4"/>
    <w:rsid w:val="00BB0266"/>
    <w:rsid w:val="00BD339B"/>
    <w:rsid w:val="00BD3C5E"/>
    <w:rsid w:val="00BD403E"/>
    <w:rsid w:val="00BE1B90"/>
    <w:rsid w:val="00BE5422"/>
    <w:rsid w:val="00BE5949"/>
    <w:rsid w:val="00BF385A"/>
    <w:rsid w:val="00C0251E"/>
    <w:rsid w:val="00C206C8"/>
    <w:rsid w:val="00C23D81"/>
    <w:rsid w:val="00C32DA9"/>
    <w:rsid w:val="00C45225"/>
    <w:rsid w:val="00C47B9B"/>
    <w:rsid w:val="00C47C73"/>
    <w:rsid w:val="00C57FB6"/>
    <w:rsid w:val="00C658BB"/>
    <w:rsid w:val="00C76442"/>
    <w:rsid w:val="00C81885"/>
    <w:rsid w:val="00C91AEA"/>
    <w:rsid w:val="00C91E0C"/>
    <w:rsid w:val="00C96176"/>
    <w:rsid w:val="00CA5614"/>
    <w:rsid w:val="00CB7426"/>
    <w:rsid w:val="00CB7846"/>
    <w:rsid w:val="00CC1AA8"/>
    <w:rsid w:val="00CC2390"/>
    <w:rsid w:val="00CD05F5"/>
    <w:rsid w:val="00CD528C"/>
    <w:rsid w:val="00CE2222"/>
    <w:rsid w:val="00CE6882"/>
    <w:rsid w:val="00CF01BA"/>
    <w:rsid w:val="00D1285F"/>
    <w:rsid w:val="00D16CBB"/>
    <w:rsid w:val="00D2638F"/>
    <w:rsid w:val="00D336DC"/>
    <w:rsid w:val="00D35569"/>
    <w:rsid w:val="00D4210D"/>
    <w:rsid w:val="00D43BB2"/>
    <w:rsid w:val="00D45552"/>
    <w:rsid w:val="00D677B5"/>
    <w:rsid w:val="00D723DF"/>
    <w:rsid w:val="00D87956"/>
    <w:rsid w:val="00D96C44"/>
    <w:rsid w:val="00DA6977"/>
    <w:rsid w:val="00DB1675"/>
    <w:rsid w:val="00DB3AC4"/>
    <w:rsid w:val="00DC3A03"/>
    <w:rsid w:val="00DD3ADD"/>
    <w:rsid w:val="00DE1FD3"/>
    <w:rsid w:val="00DE4D30"/>
    <w:rsid w:val="00DF01C8"/>
    <w:rsid w:val="00DF09F0"/>
    <w:rsid w:val="00E00197"/>
    <w:rsid w:val="00E0622C"/>
    <w:rsid w:val="00E1249A"/>
    <w:rsid w:val="00E15528"/>
    <w:rsid w:val="00E1685A"/>
    <w:rsid w:val="00E16F5D"/>
    <w:rsid w:val="00E17277"/>
    <w:rsid w:val="00E343E9"/>
    <w:rsid w:val="00E47A8F"/>
    <w:rsid w:val="00E50E48"/>
    <w:rsid w:val="00E55A33"/>
    <w:rsid w:val="00E73336"/>
    <w:rsid w:val="00E74E29"/>
    <w:rsid w:val="00E76C04"/>
    <w:rsid w:val="00E963EB"/>
    <w:rsid w:val="00E96648"/>
    <w:rsid w:val="00EB23A9"/>
    <w:rsid w:val="00EC2643"/>
    <w:rsid w:val="00EC6B10"/>
    <w:rsid w:val="00ED474D"/>
    <w:rsid w:val="00EE3BC0"/>
    <w:rsid w:val="00EF0E46"/>
    <w:rsid w:val="00EF40FA"/>
    <w:rsid w:val="00F021E7"/>
    <w:rsid w:val="00F05670"/>
    <w:rsid w:val="00F377F3"/>
    <w:rsid w:val="00F413EC"/>
    <w:rsid w:val="00F43E34"/>
    <w:rsid w:val="00F522E9"/>
    <w:rsid w:val="00F602D3"/>
    <w:rsid w:val="00F627A2"/>
    <w:rsid w:val="00F65108"/>
    <w:rsid w:val="00F65C5D"/>
    <w:rsid w:val="00F66467"/>
    <w:rsid w:val="00F76B78"/>
    <w:rsid w:val="00F85630"/>
    <w:rsid w:val="00F95B54"/>
    <w:rsid w:val="00F97732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08440B"/>
  <w15:docId w15:val="{345C95BA-9456-45FE-8028-FBF81F0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FC8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unhideWhenUsed/>
    <w:qFormat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pPr>
      <w:spacing w:after="100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Pr>
      <w:rFonts w:eastAsiaTheme="minorEastAsia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-451">
    <w:name w:val="Таблица-сетка 4 — акцент 51"/>
    <w:basedOn w:val="a1"/>
    <w:uiPriority w:val="49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21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pPr>
      <w:spacing w:after="100"/>
      <w:ind w:left="440"/>
    </w:p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7">
    <w:name w:val="Placeholder Text"/>
    <w:basedOn w:val="a0"/>
    <w:uiPriority w:val="99"/>
    <w:semiHidden/>
    <w:rPr>
      <w:color w:val="808080"/>
    </w:rPr>
  </w:style>
  <w:style w:type="paragraph" w:styleId="af8">
    <w:name w:val="annotation subject"/>
    <w:basedOn w:val="ab"/>
    <w:next w:val="ab"/>
    <w:link w:val="af9"/>
    <w:uiPriority w:val="99"/>
    <w:semiHidden/>
    <w:unhideWhenUsed/>
    <w:pPr>
      <w:spacing w:before="0" w:after="160"/>
    </w:pPr>
    <w:rPr>
      <w:rFonts w:eastAsiaTheme="minorHAnsi"/>
      <w:b/>
      <w:bCs/>
    </w:rPr>
  </w:style>
  <w:style w:type="character" w:customStyle="1" w:styleId="af9">
    <w:name w:val="Тема примечания Знак"/>
    <w:basedOn w:val="ac"/>
    <w:link w:val="af8"/>
    <w:uiPriority w:val="99"/>
    <w:semiHidden/>
    <w:rPr>
      <w:rFonts w:eastAsiaTheme="minorEastAsia"/>
      <w:b/>
      <w:bCs/>
      <w:sz w:val="20"/>
      <w:szCs w:val="20"/>
    </w:rPr>
  </w:style>
  <w:style w:type="character" w:customStyle="1" w:styleId="2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a">
    <w:basedOn w:val="a"/>
    <w:next w:val="a3"/>
    <w:link w:val="afb"/>
    <w:uiPriority w:val="99"/>
    <w:qFormat/>
    <w:rsid w:val="009C0D4F"/>
    <w:pPr>
      <w:spacing w:after="0" w:line="240" w:lineRule="auto"/>
      <w:jc w:val="center"/>
    </w:pPr>
    <w:rPr>
      <w:rFonts w:ascii="Times New Roman" w:hAnsi="Times New Roman"/>
      <w:b/>
      <w:sz w:val="24"/>
      <w:lang w:val="x-none" w:eastAsia="ru-RU"/>
    </w:rPr>
  </w:style>
  <w:style w:type="character" w:customStyle="1" w:styleId="afb">
    <w:name w:val="Название Знак"/>
    <w:link w:val="afa"/>
    <w:uiPriority w:val="99"/>
    <w:locked/>
    <w:rsid w:val="009C0D4F"/>
    <w:rPr>
      <w:rFonts w:ascii="Times New Roman" w:hAnsi="Times New Roman"/>
      <w:b/>
      <w:sz w:val="24"/>
      <w:lang w:val="x-none" w:eastAsia="ru-RU"/>
    </w:rPr>
  </w:style>
  <w:style w:type="character" w:customStyle="1" w:styleId="a9">
    <w:name w:val="Абзац списка Знак"/>
    <w:link w:val="a8"/>
    <w:uiPriority w:val="34"/>
    <w:locked/>
    <w:rsid w:val="00DA6977"/>
  </w:style>
  <w:style w:type="character" w:customStyle="1" w:styleId="32">
    <w:name w:val="Неразрешенное упоминание3"/>
    <w:basedOn w:val="a0"/>
    <w:uiPriority w:val="99"/>
    <w:semiHidden/>
    <w:unhideWhenUsed/>
    <w:rsid w:val="001F764E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32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471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635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545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778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339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490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342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975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926A-BB87-4FE9-8225-394A65F5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  Ильин</dc:creator>
  <cp:lastModifiedBy>Экспертный Совет НП СРОО</cp:lastModifiedBy>
  <cp:revision>9</cp:revision>
  <cp:lastPrinted>2019-06-10T10:43:00Z</cp:lastPrinted>
  <dcterms:created xsi:type="dcterms:W3CDTF">2019-08-12T12:29:00Z</dcterms:created>
  <dcterms:modified xsi:type="dcterms:W3CDTF">2019-08-12T13:41:00Z</dcterms:modified>
</cp:coreProperties>
</file>