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268"/>
        <w:gridCol w:w="5103"/>
      </w:tblGrid>
      <w:tr w:rsidR="001C0D5C" w14:paraId="36511174" w14:textId="77777777" w:rsidTr="009425CE">
        <w:trPr>
          <w:trHeight w:val="1230"/>
        </w:trPr>
        <w:tc>
          <w:tcPr>
            <w:tcW w:w="5070" w:type="dxa"/>
            <w:gridSpan w:val="2"/>
            <w:tcBorders>
              <w:top w:val="nil"/>
              <w:left w:val="nil"/>
              <w:bottom w:val="nil"/>
              <w:right w:val="nil"/>
            </w:tcBorders>
            <w:vAlign w:val="center"/>
            <w:hideMark/>
          </w:tcPr>
          <w:p w14:paraId="3D37A105" w14:textId="72FB021A" w:rsidR="001C0D5C" w:rsidRDefault="001C0D5C">
            <w:pPr>
              <w:jc w:val="center"/>
              <w:rPr>
                <w:b/>
                <w:sz w:val="28"/>
                <w:szCs w:val="28"/>
                <w:lang w:val="en-US"/>
              </w:rPr>
            </w:pPr>
            <w:r>
              <w:rPr>
                <w:rFonts w:ascii="Book Antiqua" w:hAnsi="Book Antiqua" w:cs="Book Antiqua"/>
                <w:b/>
                <w:noProof/>
                <w:color w:val="943634"/>
                <w:sz w:val="44"/>
                <w:szCs w:val="44"/>
                <w:lang w:eastAsia="ru-RU"/>
              </w:rPr>
              <w:drawing>
                <wp:inline distT="0" distB="0" distL="0" distR="0" wp14:anchorId="6E1A6A52" wp14:editId="7D48F564">
                  <wp:extent cx="2647950" cy="779145"/>
                  <wp:effectExtent l="0" t="0" r="0" b="190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779145"/>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1A291D2D" w14:textId="79FAE125" w:rsidR="001C0D5C" w:rsidRDefault="001C0D5C">
            <w:pPr>
              <w:jc w:val="center"/>
              <w:rPr>
                <w:b/>
                <w:sz w:val="28"/>
                <w:szCs w:val="28"/>
              </w:rPr>
            </w:pPr>
            <w:r>
              <w:rPr>
                <w:rFonts w:ascii="Book Antiqua" w:hAnsi="Book Antiqua" w:cs="Vrinda"/>
                <w:b/>
                <w:noProof/>
                <w:color w:val="002F8E"/>
                <w:sz w:val="30"/>
                <w:szCs w:val="30"/>
                <w:lang w:eastAsia="ru-RU"/>
              </w:rPr>
              <w:drawing>
                <wp:inline distT="0" distB="0" distL="0" distR="0" wp14:anchorId="066DCBFF" wp14:editId="77AE6F90">
                  <wp:extent cx="1232535" cy="1065530"/>
                  <wp:effectExtent l="0" t="0" r="571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b="26373"/>
                          <a:stretch>
                            <a:fillRect/>
                          </a:stretch>
                        </pic:blipFill>
                        <pic:spPr bwMode="auto">
                          <a:xfrm>
                            <a:off x="0" y="0"/>
                            <a:ext cx="1232535" cy="1065530"/>
                          </a:xfrm>
                          <a:prstGeom prst="rect">
                            <a:avLst/>
                          </a:prstGeom>
                          <a:noFill/>
                          <a:ln>
                            <a:noFill/>
                          </a:ln>
                        </pic:spPr>
                      </pic:pic>
                    </a:graphicData>
                  </a:graphic>
                </wp:inline>
              </w:drawing>
            </w:r>
          </w:p>
        </w:tc>
      </w:tr>
      <w:tr w:rsidR="001C0D5C" w14:paraId="6AFA0B65" w14:textId="77777777" w:rsidTr="009425CE">
        <w:trPr>
          <w:trHeight w:val="705"/>
        </w:trPr>
        <w:tc>
          <w:tcPr>
            <w:tcW w:w="5070" w:type="dxa"/>
            <w:gridSpan w:val="2"/>
            <w:tcBorders>
              <w:top w:val="nil"/>
              <w:left w:val="nil"/>
              <w:bottom w:val="single" w:sz="4" w:space="0" w:color="auto"/>
              <w:right w:val="nil"/>
            </w:tcBorders>
            <w:hideMark/>
          </w:tcPr>
          <w:p w14:paraId="5F175B44" w14:textId="77777777" w:rsidR="001C0D5C" w:rsidRDefault="001C0D5C">
            <w:pPr>
              <w:jc w:val="center"/>
              <w:rPr>
                <w:rFonts w:ascii="Book Antiqua" w:hAnsi="Book Antiqua" w:cs="Vrinda"/>
                <w:b/>
                <w:bCs/>
                <w:color w:val="002F8E"/>
                <w:sz w:val="30"/>
                <w:szCs w:val="30"/>
              </w:rPr>
            </w:pPr>
            <w:r>
              <w:rPr>
                <w:rFonts w:ascii="Book Antiqua" w:hAnsi="Book Antiqua" w:cs="Vrinda"/>
                <w:b/>
                <w:bCs/>
                <w:color w:val="002F8E"/>
                <w:sz w:val="30"/>
                <w:szCs w:val="30"/>
              </w:rPr>
              <w:t>Ассоциация</w:t>
            </w:r>
          </w:p>
          <w:p w14:paraId="1E152E86" w14:textId="77777777" w:rsidR="001C0D5C" w:rsidRDefault="001C0D5C">
            <w:pPr>
              <w:jc w:val="center"/>
              <w:rPr>
                <w:rFonts w:ascii="Book Antiqua" w:hAnsi="Book Antiqua" w:cs="Book Antiqua"/>
                <w:b/>
                <w:bCs/>
                <w:noProof/>
                <w:color w:val="943634"/>
                <w:sz w:val="44"/>
                <w:szCs w:val="44"/>
                <w:lang w:eastAsia="ru-RU"/>
              </w:rPr>
            </w:pPr>
            <w:r>
              <w:rPr>
                <w:rFonts w:ascii="Book Antiqua" w:hAnsi="Book Antiqua" w:cs="Vrinda"/>
                <w:b/>
                <w:bCs/>
                <w:color w:val="002F8E"/>
                <w:sz w:val="30"/>
                <w:szCs w:val="30"/>
              </w:rPr>
              <w:t>«СРОО «Экспертный совет»</w:t>
            </w:r>
          </w:p>
        </w:tc>
        <w:tc>
          <w:tcPr>
            <w:tcW w:w="5103" w:type="dxa"/>
            <w:tcBorders>
              <w:top w:val="nil"/>
              <w:left w:val="nil"/>
              <w:bottom w:val="single" w:sz="4" w:space="0" w:color="auto"/>
              <w:right w:val="nil"/>
            </w:tcBorders>
            <w:hideMark/>
          </w:tcPr>
          <w:p w14:paraId="2DA696F5" w14:textId="77777777" w:rsidR="001C0D5C" w:rsidRDefault="001C0D5C">
            <w:pPr>
              <w:jc w:val="center"/>
              <w:rPr>
                <w:rFonts w:ascii="Book Antiqua" w:hAnsi="Book Antiqua" w:cs="Vrinda"/>
                <w:b/>
                <w:bCs/>
                <w:noProof/>
                <w:color w:val="002F8E"/>
                <w:sz w:val="30"/>
                <w:szCs w:val="30"/>
                <w:lang w:eastAsia="ru-RU"/>
              </w:rPr>
            </w:pPr>
            <w:r>
              <w:rPr>
                <w:rFonts w:ascii="Book Antiqua" w:hAnsi="Book Antiqua" w:cs="Vrinda"/>
                <w:b/>
                <w:bCs/>
                <w:color w:val="002F8E"/>
                <w:sz w:val="30"/>
                <w:szCs w:val="30"/>
              </w:rPr>
              <w:t>Союз судебных экспертов «Экспертный совет»</w:t>
            </w:r>
          </w:p>
        </w:tc>
      </w:tr>
      <w:tr w:rsidR="001C0D5C" w:rsidRPr="005A5501" w14:paraId="4AD62C29" w14:textId="77777777" w:rsidTr="009425CE">
        <w:tblPrEx>
          <w:tblBorders>
            <w:bottom w:val="none" w:sz="0" w:space="0" w:color="auto"/>
          </w:tblBorders>
        </w:tblPrEx>
        <w:trPr>
          <w:gridAfter w:val="2"/>
          <w:wAfter w:w="7371" w:type="dxa"/>
        </w:trPr>
        <w:tc>
          <w:tcPr>
            <w:tcW w:w="2802" w:type="dxa"/>
            <w:tcBorders>
              <w:bottom w:val="single" w:sz="4" w:space="0" w:color="auto"/>
            </w:tcBorders>
          </w:tcPr>
          <w:p w14:paraId="168A1862" w14:textId="13C3A771" w:rsidR="001C0D5C" w:rsidRPr="005A5501" w:rsidRDefault="001C0D5C" w:rsidP="001C0D5C">
            <w:pPr>
              <w:pStyle w:val="ab"/>
              <w:spacing w:before="240"/>
              <w:rPr>
                <w:b w:val="0"/>
                <w:lang w:val="en-US"/>
              </w:rPr>
            </w:pPr>
            <w:r w:rsidRPr="005A5501">
              <w:rPr>
                <w:rFonts w:asciiTheme="minorHAnsi" w:hAnsiTheme="minorHAnsi"/>
              </w:rPr>
              <w:t>МР–</w:t>
            </w:r>
            <w:r>
              <w:rPr>
                <w:rFonts w:asciiTheme="minorHAnsi" w:hAnsiTheme="minorHAnsi"/>
              </w:rPr>
              <w:t>2</w:t>
            </w:r>
            <w:r w:rsidRPr="00836A56">
              <w:rPr>
                <w:rFonts w:asciiTheme="minorHAnsi" w:hAnsiTheme="minorHAnsi"/>
                <w:lang w:val="en-US"/>
              </w:rPr>
              <w:t>/1</w:t>
            </w:r>
            <w:r>
              <w:rPr>
                <w:rFonts w:asciiTheme="minorHAnsi" w:hAnsiTheme="minorHAnsi"/>
                <w:lang w:val="en-US"/>
              </w:rPr>
              <w:t>9</w:t>
            </w:r>
            <w:r w:rsidRPr="00836A56">
              <w:rPr>
                <w:rFonts w:asciiTheme="minorHAnsi" w:hAnsiTheme="minorHAnsi"/>
              </w:rPr>
              <w:t xml:space="preserve"> от </w:t>
            </w:r>
            <w:r>
              <w:rPr>
                <w:rFonts w:asciiTheme="minorHAnsi" w:hAnsiTheme="minorHAnsi"/>
                <w:lang w:val="en-US"/>
              </w:rPr>
              <w:t>2</w:t>
            </w:r>
            <w:r>
              <w:rPr>
                <w:rFonts w:asciiTheme="minorHAnsi" w:hAnsiTheme="minorHAnsi"/>
              </w:rPr>
              <w:t>5</w:t>
            </w:r>
            <w:r w:rsidRPr="00836A56">
              <w:rPr>
                <w:rFonts w:asciiTheme="minorHAnsi" w:hAnsiTheme="minorHAnsi"/>
                <w:lang w:val="en-US"/>
              </w:rPr>
              <w:t>.</w:t>
            </w:r>
            <w:r>
              <w:rPr>
                <w:rFonts w:asciiTheme="minorHAnsi" w:hAnsiTheme="minorHAnsi"/>
                <w:lang w:val="en-US"/>
              </w:rPr>
              <w:t>09</w:t>
            </w:r>
            <w:r w:rsidRPr="00836A56">
              <w:rPr>
                <w:rFonts w:asciiTheme="minorHAnsi" w:hAnsiTheme="minorHAnsi"/>
                <w:lang w:val="en-US"/>
              </w:rPr>
              <w:t>.201</w:t>
            </w:r>
            <w:r>
              <w:rPr>
                <w:rFonts w:asciiTheme="minorHAnsi" w:hAnsiTheme="minorHAnsi"/>
                <w:lang w:val="en-US"/>
              </w:rPr>
              <w:t>9</w:t>
            </w:r>
          </w:p>
        </w:tc>
      </w:tr>
      <w:tr w:rsidR="001C0D5C" w:rsidRPr="00D76C13" w14:paraId="788FE2A5" w14:textId="77777777" w:rsidTr="009425CE">
        <w:tblPrEx>
          <w:tblBorders>
            <w:bottom w:val="none" w:sz="0" w:space="0" w:color="auto"/>
          </w:tblBorders>
        </w:tblPrEx>
        <w:trPr>
          <w:gridAfter w:val="2"/>
          <w:wAfter w:w="7371" w:type="dxa"/>
        </w:trPr>
        <w:tc>
          <w:tcPr>
            <w:tcW w:w="2802" w:type="dxa"/>
            <w:tcBorders>
              <w:top w:val="single" w:sz="4" w:space="0" w:color="auto"/>
            </w:tcBorders>
          </w:tcPr>
          <w:p w14:paraId="15690274" w14:textId="77777777" w:rsidR="001C0D5C" w:rsidRPr="00D76C13" w:rsidRDefault="001C0D5C" w:rsidP="00616CD6">
            <w:pPr>
              <w:pStyle w:val="ab"/>
              <w:rPr>
                <w:b w:val="0"/>
                <w:sz w:val="16"/>
                <w:szCs w:val="16"/>
              </w:rPr>
            </w:pPr>
            <w:r w:rsidRPr="00D76C13">
              <w:rPr>
                <w:rFonts w:asciiTheme="minorHAnsi" w:hAnsiTheme="minorHAnsi"/>
                <w:b w:val="0"/>
                <w:i/>
                <w:sz w:val="16"/>
                <w:szCs w:val="16"/>
              </w:rPr>
              <w:t>реквизиты документа</w:t>
            </w:r>
          </w:p>
        </w:tc>
      </w:tr>
    </w:tbl>
    <w:p w14:paraId="15940C18" w14:textId="4D5A26AA" w:rsidR="001C0D5C" w:rsidRDefault="001C0D5C" w:rsidP="001C0D5C">
      <w:pPr>
        <w:spacing w:after="0" w:line="240" w:lineRule="auto"/>
        <w:rPr>
          <w:rFonts w:cs="Times New Roman"/>
          <w:b/>
          <w:sz w:val="24"/>
          <w:szCs w:val="24"/>
          <w:lang w:eastAsia="ru-RU"/>
        </w:rPr>
      </w:pPr>
    </w:p>
    <w:tbl>
      <w:tblPr>
        <w:tblStyle w:val="a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1C0D5C" w14:paraId="5F732E59" w14:textId="77777777" w:rsidTr="001C0D5C">
        <w:trPr>
          <w:trHeight w:val="1642"/>
        </w:trPr>
        <w:tc>
          <w:tcPr>
            <w:tcW w:w="5103" w:type="dxa"/>
          </w:tcPr>
          <w:p w14:paraId="0CF9DC7F" w14:textId="77777777" w:rsidR="001C0D5C" w:rsidRDefault="001C0D5C">
            <w:pPr>
              <w:rPr>
                <w:rFonts w:cs="Times New Roman"/>
                <w:bCs/>
                <w:sz w:val="24"/>
                <w:szCs w:val="24"/>
                <w:lang w:eastAsia="ru-RU"/>
              </w:rPr>
            </w:pPr>
            <w:r>
              <w:rPr>
                <w:rFonts w:cs="Times New Roman"/>
                <w:bCs/>
                <w:sz w:val="24"/>
                <w:szCs w:val="24"/>
                <w:lang w:eastAsia="ru-RU"/>
              </w:rPr>
              <w:t xml:space="preserve">«УТВЕРЖДАЮ» </w:t>
            </w:r>
          </w:p>
          <w:p w14:paraId="688CA237" w14:textId="50D9EECC" w:rsidR="001C0D5C" w:rsidRDefault="001C0D5C" w:rsidP="00526964">
            <w:pPr>
              <w:spacing w:before="120"/>
              <w:rPr>
                <w:rFonts w:cs="Times New Roman"/>
                <w:bCs/>
                <w:sz w:val="24"/>
                <w:szCs w:val="24"/>
                <w:lang w:eastAsia="ru-RU"/>
              </w:rPr>
            </w:pPr>
            <w:r>
              <w:rPr>
                <w:rFonts w:cs="Times New Roman"/>
                <w:bCs/>
                <w:sz w:val="24"/>
                <w:szCs w:val="24"/>
                <w:lang w:eastAsia="ru-RU"/>
              </w:rPr>
              <w:t>Первый вице-президент,</w:t>
            </w:r>
            <w:r>
              <w:rPr>
                <w:rFonts w:cs="Times New Roman"/>
                <w:bCs/>
                <w:sz w:val="24"/>
                <w:szCs w:val="24"/>
                <w:lang w:eastAsia="ru-RU"/>
              </w:rPr>
              <w:br/>
              <w:t xml:space="preserve">Председатель Экспертного совета к.э.н. </w:t>
            </w:r>
          </w:p>
          <w:p w14:paraId="5F584804" w14:textId="77777777" w:rsidR="001C0D5C" w:rsidRDefault="001C0D5C">
            <w:pPr>
              <w:rPr>
                <w:rFonts w:cs="Times New Roman"/>
                <w:bCs/>
                <w:sz w:val="24"/>
                <w:szCs w:val="24"/>
                <w:lang w:eastAsia="ru-RU"/>
              </w:rPr>
            </w:pPr>
          </w:p>
          <w:p w14:paraId="4DE405FB" w14:textId="7BB835EB" w:rsidR="001C0D5C" w:rsidRDefault="001C0D5C" w:rsidP="001C0D5C">
            <w:pPr>
              <w:rPr>
                <w:rFonts w:cs="Times New Roman"/>
                <w:bCs/>
                <w:sz w:val="24"/>
                <w:szCs w:val="24"/>
                <w:lang w:eastAsia="ru-RU"/>
              </w:rPr>
            </w:pPr>
            <w:r>
              <w:rPr>
                <w:rFonts w:cs="Times New Roman"/>
                <w:bCs/>
                <w:sz w:val="24"/>
                <w:szCs w:val="24"/>
                <w:lang w:eastAsia="ru-RU"/>
              </w:rPr>
              <w:t>_____________________ /В.И. Лебединский/</w:t>
            </w:r>
          </w:p>
        </w:tc>
        <w:tc>
          <w:tcPr>
            <w:tcW w:w="4973" w:type="dxa"/>
          </w:tcPr>
          <w:p w14:paraId="3FC63BA9" w14:textId="77777777" w:rsidR="001C0D5C" w:rsidRPr="001C0D5C" w:rsidRDefault="001C0D5C" w:rsidP="001C0D5C">
            <w:pPr>
              <w:pStyle w:val="ab"/>
              <w:jc w:val="right"/>
              <w:rPr>
                <w:rFonts w:asciiTheme="minorHAnsi" w:hAnsiTheme="minorHAnsi" w:cstheme="majorBidi"/>
                <w:b w:val="0"/>
              </w:rPr>
            </w:pPr>
            <w:r w:rsidRPr="001C0D5C">
              <w:rPr>
                <w:rFonts w:asciiTheme="minorHAnsi" w:hAnsiTheme="minorHAnsi"/>
                <w:b w:val="0"/>
              </w:rPr>
              <w:t xml:space="preserve">«УТВЕРЖДАЮ» </w:t>
            </w:r>
          </w:p>
          <w:p w14:paraId="32EB9531" w14:textId="77777777" w:rsidR="001C0D5C" w:rsidRDefault="001C0D5C" w:rsidP="00526964">
            <w:pPr>
              <w:spacing w:before="120"/>
              <w:jc w:val="right"/>
              <w:rPr>
                <w:rFonts w:cs="Times New Roman"/>
                <w:bCs/>
                <w:sz w:val="24"/>
                <w:szCs w:val="24"/>
                <w:lang w:eastAsia="ru-RU"/>
              </w:rPr>
            </w:pPr>
            <w:r>
              <w:rPr>
                <w:rFonts w:cs="Times New Roman"/>
                <w:bCs/>
                <w:sz w:val="24"/>
                <w:szCs w:val="24"/>
                <w:lang w:eastAsia="ru-RU"/>
              </w:rPr>
              <w:t>Исполнительный директор,</w:t>
            </w:r>
          </w:p>
          <w:p w14:paraId="5042A083" w14:textId="1AD06EE9" w:rsidR="001C0D5C" w:rsidRDefault="001C0D5C" w:rsidP="001C0D5C">
            <w:pPr>
              <w:jc w:val="right"/>
              <w:rPr>
                <w:rFonts w:cs="Times New Roman"/>
                <w:bCs/>
                <w:sz w:val="24"/>
                <w:szCs w:val="24"/>
                <w:lang w:eastAsia="ru-RU"/>
              </w:rPr>
            </w:pPr>
            <w:r>
              <w:rPr>
                <w:rFonts w:cs="Times New Roman"/>
                <w:bCs/>
                <w:sz w:val="24"/>
                <w:szCs w:val="24"/>
                <w:lang w:eastAsia="ru-RU"/>
              </w:rPr>
              <w:t>Координатор Методического совета, к.э.н.</w:t>
            </w:r>
          </w:p>
          <w:p w14:paraId="0213A244" w14:textId="77777777" w:rsidR="001C0D5C" w:rsidRDefault="001C0D5C">
            <w:pPr>
              <w:rPr>
                <w:rFonts w:cs="Times New Roman"/>
                <w:bCs/>
                <w:sz w:val="24"/>
                <w:szCs w:val="24"/>
                <w:lang w:eastAsia="ru-RU"/>
              </w:rPr>
            </w:pPr>
          </w:p>
          <w:p w14:paraId="54FBEAFF" w14:textId="53AAE971" w:rsidR="001C0D5C" w:rsidRDefault="001C0D5C" w:rsidP="001C0D5C">
            <w:pPr>
              <w:jc w:val="right"/>
              <w:rPr>
                <w:sz w:val="24"/>
                <w:szCs w:val="24"/>
              </w:rPr>
            </w:pPr>
            <w:r>
              <w:rPr>
                <w:rFonts w:cs="Times New Roman"/>
                <w:bCs/>
                <w:sz w:val="24"/>
                <w:szCs w:val="24"/>
                <w:lang w:eastAsia="ru-RU"/>
              </w:rPr>
              <w:t>______________________ /М.О. Ильин/</w:t>
            </w:r>
          </w:p>
        </w:tc>
      </w:tr>
    </w:tbl>
    <w:p w14:paraId="2EAE7F35" w14:textId="27149B0F" w:rsidR="00746075" w:rsidRDefault="00746075" w:rsidP="00E72560">
      <w:pPr>
        <w:spacing w:after="0"/>
        <w:jc w:val="center"/>
        <w:rPr>
          <w:b/>
          <w:sz w:val="28"/>
          <w:szCs w:val="28"/>
        </w:rPr>
      </w:pPr>
    </w:p>
    <w:p w14:paraId="0F923FEC" w14:textId="1956B6C6" w:rsidR="00E6584C" w:rsidRDefault="00E6584C" w:rsidP="00E72560">
      <w:pPr>
        <w:spacing w:after="0"/>
        <w:jc w:val="center"/>
        <w:rPr>
          <w:b/>
          <w:sz w:val="28"/>
          <w:szCs w:val="28"/>
        </w:rPr>
      </w:pPr>
      <w:r>
        <w:rPr>
          <w:b/>
          <w:sz w:val="28"/>
          <w:szCs w:val="28"/>
        </w:rPr>
        <w:t>МЕТОДИЧЕСКИЕ РАЗЪЯСНЕНИЯ</w:t>
      </w:r>
    </w:p>
    <w:p w14:paraId="0BC511FA" w14:textId="5C42BE5A" w:rsidR="001E134F" w:rsidRPr="0081600D" w:rsidRDefault="00E6584C" w:rsidP="00033FA9">
      <w:pPr>
        <w:spacing w:after="0"/>
        <w:ind w:left="-142" w:right="-144"/>
        <w:jc w:val="center"/>
        <w:rPr>
          <w:b/>
          <w:sz w:val="24"/>
          <w:szCs w:val="24"/>
        </w:rPr>
      </w:pPr>
      <w:r w:rsidRPr="0063346B">
        <w:rPr>
          <w:b/>
          <w:sz w:val="24"/>
          <w:szCs w:val="24"/>
        </w:rPr>
        <w:t xml:space="preserve">по </w:t>
      </w:r>
      <w:r w:rsidR="001E134F">
        <w:rPr>
          <w:b/>
          <w:sz w:val="24"/>
          <w:szCs w:val="24"/>
        </w:rPr>
        <w:t>оценке</w:t>
      </w:r>
      <w:r w:rsidR="008427A7">
        <w:rPr>
          <w:b/>
          <w:sz w:val="24"/>
          <w:szCs w:val="24"/>
        </w:rPr>
        <w:t xml:space="preserve"> стоимости</w:t>
      </w:r>
      <w:r w:rsidR="001E134F">
        <w:rPr>
          <w:b/>
          <w:sz w:val="24"/>
          <w:szCs w:val="24"/>
        </w:rPr>
        <w:t xml:space="preserve"> </w:t>
      </w:r>
      <w:r w:rsidR="0081600D">
        <w:rPr>
          <w:b/>
          <w:sz w:val="24"/>
          <w:szCs w:val="24"/>
        </w:rPr>
        <w:t>криптовалюты</w:t>
      </w:r>
    </w:p>
    <w:p w14:paraId="121FAF99" w14:textId="0B225B03" w:rsidR="001E134F" w:rsidRDefault="008F2270" w:rsidP="00C34D48">
      <w:pPr>
        <w:tabs>
          <w:tab w:val="left" w:pos="0"/>
        </w:tabs>
        <w:spacing w:before="120" w:after="0" w:line="276" w:lineRule="auto"/>
        <w:jc w:val="both"/>
        <w:rPr>
          <w:sz w:val="24"/>
          <w:szCs w:val="24"/>
        </w:rPr>
      </w:pPr>
      <w:bookmarkStart w:id="0" w:name="_Hlk508534460"/>
      <w:r>
        <w:rPr>
          <w:sz w:val="24"/>
          <w:szCs w:val="24"/>
        </w:rPr>
        <w:tab/>
      </w:r>
      <w:r w:rsidRPr="008F2270">
        <w:rPr>
          <w:b/>
          <w:sz w:val="24"/>
          <w:szCs w:val="24"/>
        </w:rPr>
        <w:t>1.</w:t>
      </w:r>
      <w:r>
        <w:rPr>
          <w:sz w:val="24"/>
          <w:szCs w:val="24"/>
        </w:rPr>
        <w:t xml:space="preserve"> </w:t>
      </w:r>
      <w:r w:rsidR="00B04333" w:rsidRPr="008F2270">
        <w:rPr>
          <w:sz w:val="24"/>
          <w:szCs w:val="24"/>
        </w:rPr>
        <w:t>Методические разъяснения предназначены для подготовки отчетов об оценке</w:t>
      </w:r>
      <w:r w:rsidR="00190F63">
        <w:rPr>
          <w:sz w:val="24"/>
          <w:szCs w:val="24"/>
        </w:rPr>
        <w:br/>
        <w:t xml:space="preserve">и </w:t>
      </w:r>
      <w:r w:rsidR="00B04333" w:rsidRPr="008F2270">
        <w:rPr>
          <w:sz w:val="24"/>
          <w:szCs w:val="24"/>
        </w:rPr>
        <w:t xml:space="preserve">заключений судебных экспертов </w:t>
      </w:r>
      <w:r w:rsidR="00B04333">
        <w:rPr>
          <w:sz w:val="24"/>
          <w:szCs w:val="24"/>
        </w:rPr>
        <w:t>в</w:t>
      </w:r>
      <w:r w:rsidR="00B04333" w:rsidRPr="008F2270">
        <w:rPr>
          <w:sz w:val="24"/>
          <w:szCs w:val="24"/>
        </w:rPr>
        <w:t xml:space="preserve"> цел</w:t>
      </w:r>
      <w:r w:rsidR="00B04333">
        <w:rPr>
          <w:sz w:val="24"/>
          <w:szCs w:val="24"/>
        </w:rPr>
        <w:t>ях</w:t>
      </w:r>
      <w:r w:rsidR="00B04333" w:rsidRPr="008F2270">
        <w:rPr>
          <w:sz w:val="24"/>
          <w:szCs w:val="24"/>
        </w:rPr>
        <w:t xml:space="preserve"> установления </w:t>
      </w:r>
      <w:r w:rsidR="00B04333">
        <w:rPr>
          <w:sz w:val="24"/>
          <w:szCs w:val="24"/>
        </w:rPr>
        <w:t xml:space="preserve">рыночной стоимости </w:t>
      </w:r>
      <w:r w:rsidR="001C0D5C">
        <w:rPr>
          <w:sz w:val="24"/>
          <w:szCs w:val="24"/>
        </w:rPr>
        <w:t>прав в </w:t>
      </w:r>
      <w:r w:rsidR="001E134F" w:rsidRPr="001E134F">
        <w:rPr>
          <w:sz w:val="24"/>
          <w:szCs w:val="24"/>
        </w:rPr>
        <w:t>отношении содержимого электронного кошелька,</w:t>
      </w:r>
      <w:r w:rsidR="001E134F">
        <w:rPr>
          <w:sz w:val="24"/>
          <w:szCs w:val="24"/>
        </w:rPr>
        <w:t xml:space="preserve"> содержащего цифровые расчетные единицы (криптовалюту) </w:t>
      </w:r>
      <w:proofErr w:type="spellStart"/>
      <w:r w:rsidR="001E134F" w:rsidRPr="001E134F">
        <w:rPr>
          <w:sz w:val="24"/>
          <w:szCs w:val="24"/>
        </w:rPr>
        <w:t>Bitcoin</w:t>
      </w:r>
      <w:proofErr w:type="spellEnd"/>
      <w:r w:rsidR="001E134F" w:rsidRPr="001E134F">
        <w:rPr>
          <w:sz w:val="24"/>
          <w:szCs w:val="24"/>
        </w:rPr>
        <w:t xml:space="preserve">, </w:t>
      </w:r>
      <w:proofErr w:type="spellStart"/>
      <w:r w:rsidR="001E134F" w:rsidRPr="001E134F">
        <w:rPr>
          <w:sz w:val="24"/>
          <w:szCs w:val="24"/>
        </w:rPr>
        <w:t>Ethereum</w:t>
      </w:r>
      <w:proofErr w:type="spellEnd"/>
      <w:r w:rsidR="001E134F" w:rsidRPr="001E134F">
        <w:rPr>
          <w:sz w:val="24"/>
          <w:szCs w:val="24"/>
        </w:rPr>
        <w:t xml:space="preserve">, XRP </w:t>
      </w:r>
      <w:r w:rsidR="001E134F">
        <w:rPr>
          <w:sz w:val="24"/>
          <w:szCs w:val="24"/>
        </w:rPr>
        <w:t>и пр.</w:t>
      </w:r>
    </w:p>
    <w:p w14:paraId="05EA7C6E" w14:textId="55B6E7C9" w:rsidR="001E134F" w:rsidRDefault="001E134F" w:rsidP="00B1313E">
      <w:pPr>
        <w:tabs>
          <w:tab w:val="left" w:pos="0"/>
        </w:tabs>
        <w:spacing w:before="240" w:after="0" w:line="276" w:lineRule="auto"/>
        <w:jc w:val="both"/>
        <w:rPr>
          <w:sz w:val="24"/>
          <w:szCs w:val="24"/>
        </w:rPr>
      </w:pPr>
      <w:r w:rsidRPr="001E134F">
        <w:rPr>
          <w:b/>
          <w:bCs/>
          <w:sz w:val="24"/>
          <w:szCs w:val="24"/>
        </w:rPr>
        <w:tab/>
        <w:t>2.</w:t>
      </w:r>
      <w:r>
        <w:rPr>
          <w:sz w:val="24"/>
          <w:szCs w:val="24"/>
        </w:rPr>
        <w:t xml:space="preserve"> Формирование </w:t>
      </w:r>
      <w:r w:rsidR="00823ACD">
        <w:rPr>
          <w:sz w:val="24"/>
          <w:szCs w:val="24"/>
        </w:rPr>
        <w:t xml:space="preserve">и идентификация </w:t>
      </w:r>
      <w:r>
        <w:rPr>
          <w:sz w:val="24"/>
          <w:szCs w:val="24"/>
        </w:rPr>
        <w:t>объекта оценки.</w:t>
      </w:r>
    </w:p>
    <w:p w14:paraId="113867EE" w14:textId="244BA35C" w:rsidR="004B3D56" w:rsidRDefault="001E134F" w:rsidP="00F3598E">
      <w:pPr>
        <w:tabs>
          <w:tab w:val="left" w:pos="0"/>
        </w:tabs>
        <w:spacing w:before="60" w:after="0" w:line="276" w:lineRule="auto"/>
        <w:jc w:val="both"/>
        <w:rPr>
          <w:sz w:val="24"/>
          <w:szCs w:val="24"/>
        </w:rPr>
      </w:pPr>
      <w:r w:rsidRPr="004B3D56">
        <w:rPr>
          <w:b/>
          <w:bCs/>
          <w:sz w:val="24"/>
          <w:szCs w:val="24"/>
        </w:rPr>
        <w:tab/>
        <w:t>2.</w:t>
      </w:r>
      <w:r w:rsidR="00746075">
        <w:rPr>
          <w:b/>
          <w:bCs/>
          <w:sz w:val="24"/>
          <w:szCs w:val="24"/>
        </w:rPr>
        <w:t>1</w:t>
      </w:r>
      <w:r w:rsidRPr="004B3D56">
        <w:rPr>
          <w:b/>
          <w:bCs/>
          <w:sz w:val="24"/>
          <w:szCs w:val="24"/>
        </w:rPr>
        <w:t>.</w:t>
      </w:r>
      <w:r>
        <w:rPr>
          <w:sz w:val="24"/>
          <w:szCs w:val="24"/>
        </w:rPr>
        <w:t xml:space="preserve"> </w:t>
      </w:r>
      <w:r w:rsidR="004B3D56">
        <w:rPr>
          <w:sz w:val="24"/>
          <w:szCs w:val="24"/>
        </w:rPr>
        <w:t xml:space="preserve">Объектом оценки может выступать имущественное право </w:t>
      </w:r>
      <w:r w:rsidR="00BB4245">
        <w:rPr>
          <w:sz w:val="24"/>
          <w:szCs w:val="24"/>
        </w:rPr>
        <w:t xml:space="preserve">– </w:t>
      </w:r>
      <w:r w:rsidR="004B3D56">
        <w:rPr>
          <w:sz w:val="24"/>
          <w:szCs w:val="24"/>
        </w:rPr>
        <w:t xml:space="preserve">право </w:t>
      </w:r>
      <w:r w:rsidR="00AD1E62">
        <w:rPr>
          <w:sz w:val="24"/>
          <w:szCs w:val="24"/>
        </w:rPr>
        <w:t>(</w:t>
      </w:r>
      <w:r w:rsidR="004B3D56">
        <w:rPr>
          <w:sz w:val="24"/>
          <w:szCs w:val="24"/>
        </w:rPr>
        <w:t>требования</w:t>
      </w:r>
      <w:r w:rsidR="00AD1E62">
        <w:rPr>
          <w:sz w:val="24"/>
          <w:szCs w:val="24"/>
        </w:rPr>
        <w:t>)</w:t>
      </w:r>
      <w:r w:rsidR="004B3D56">
        <w:rPr>
          <w:sz w:val="24"/>
          <w:szCs w:val="24"/>
        </w:rPr>
        <w:t xml:space="preserve"> на</w:t>
      </w:r>
      <w:r w:rsidR="00BB4245">
        <w:rPr>
          <w:sz w:val="24"/>
          <w:szCs w:val="24"/>
        </w:rPr>
        <w:t> </w:t>
      </w:r>
      <w:r w:rsidR="004B3D56" w:rsidRPr="001E134F">
        <w:rPr>
          <w:sz w:val="24"/>
          <w:szCs w:val="24"/>
        </w:rPr>
        <w:t>содержимо</w:t>
      </w:r>
      <w:r w:rsidR="004B3D56">
        <w:rPr>
          <w:sz w:val="24"/>
          <w:szCs w:val="24"/>
        </w:rPr>
        <w:t>е</w:t>
      </w:r>
      <w:r w:rsidR="004B3D56" w:rsidRPr="001E134F">
        <w:rPr>
          <w:sz w:val="24"/>
          <w:szCs w:val="24"/>
        </w:rPr>
        <w:t xml:space="preserve"> электронного кошелька</w:t>
      </w:r>
      <w:r w:rsidR="001C0D5C">
        <w:rPr>
          <w:sz w:val="24"/>
          <w:szCs w:val="24"/>
        </w:rPr>
        <w:t>. Основания:</w:t>
      </w:r>
    </w:p>
    <w:p w14:paraId="4D0DBD54" w14:textId="77777777" w:rsidR="00AD1E62" w:rsidRPr="00697A6A" w:rsidRDefault="00AD1E62" w:rsidP="00AD1E62">
      <w:pPr>
        <w:pStyle w:val="a3"/>
        <w:numPr>
          <w:ilvl w:val="0"/>
          <w:numId w:val="30"/>
        </w:numPr>
        <w:tabs>
          <w:tab w:val="left" w:pos="0"/>
        </w:tabs>
        <w:spacing w:after="0" w:line="276" w:lineRule="auto"/>
        <w:jc w:val="both"/>
        <w:rPr>
          <w:sz w:val="24"/>
          <w:szCs w:val="24"/>
        </w:rPr>
      </w:pPr>
      <w:r w:rsidRPr="00697A6A">
        <w:rPr>
          <w:sz w:val="24"/>
          <w:szCs w:val="24"/>
        </w:rPr>
        <w:t>понятие цифровых прав введено в статьи 128 и 141.1 ГК РФ Федеральным законом «О внесении изменений в части первую, вторую и статью 1124 части третьей Г</w:t>
      </w:r>
      <w:r>
        <w:rPr>
          <w:sz w:val="24"/>
          <w:szCs w:val="24"/>
        </w:rPr>
        <w:t xml:space="preserve">К </w:t>
      </w:r>
      <w:r w:rsidRPr="00697A6A">
        <w:rPr>
          <w:sz w:val="24"/>
          <w:szCs w:val="24"/>
        </w:rPr>
        <w:t>РФ» от 18.03.2019 № 34-ФЗ;</w:t>
      </w:r>
    </w:p>
    <w:p w14:paraId="25BA40FC" w14:textId="77777777" w:rsidR="00AD1E62" w:rsidRPr="004B3D56" w:rsidRDefault="00AD1E62" w:rsidP="00AD1E62">
      <w:pPr>
        <w:pStyle w:val="a3"/>
        <w:numPr>
          <w:ilvl w:val="0"/>
          <w:numId w:val="30"/>
        </w:numPr>
        <w:tabs>
          <w:tab w:val="left" w:pos="0"/>
        </w:tabs>
        <w:spacing w:after="0" w:line="276" w:lineRule="auto"/>
        <w:jc w:val="both"/>
        <w:rPr>
          <w:sz w:val="24"/>
          <w:szCs w:val="24"/>
        </w:rPr>
      </w:pPr>
      <w:r w:rsidRPr="004B3D56">
        <w:rPr>
          <w:sz w:val="24"/>
          <w:szCs w:val="24"/>
        </w:rPr>
        <w:t>Пленум ВС РФ внес изменения в Постановление Пленума ВС РФ от 07.07.2015 № 32</w:t>
      </w:r>
      <w:r w:rsidRPr="00BB4245">
        <w:rPr>
          <w:sz w:val="24"/>
          <w:szCs w:val="24"/>
        </w:rPr>
        <w:t xml:space="preserve"> </w:t>
      </w:r>
      <w:r>
        <w:rPr>
          <w:sz w:val="24"/>
          <w:szCs w:val="24"/>
        </w:rPr>
        <w:t xml:space="preserve">(изменения от </w:t>
      </w:r>
      <w:r w:rsidRPr="004B3D56">
        <w:rPr>
          <w:sz w:val="24"/>
          <w:szCs w:val="24"/>
        </w:rPr>
        <w:t>феврал</w:t>
      </w:r>
      <w:r>
        <w:rPr>
          <w:sz w:val="24"/>
          <w:szCs w:val="24"/>
        </w:rPr>
        <w:t>я</w:t>
      </w:r>
      <w:r w:rsidRPr="004B3D56">
        <w:rPr>
          <w:sz w:val="24"/>
          <w:szCs w:val="24"/>
        </w:rPr>
        <w:t xml:space="preserve"> 2019</w:t>
      </w:r>
      <w:r>
        <w:rPr>
          <w:sz w:val="24"/>
          <w:szCs w:val="24"/>
        </w:rPr>
        <w:t>).</w:t>
      </w:r>
      <w:r w:rsidRPr="004B3D56">
        <w:rPr>
          <w:sz w:val="24"/>
          <w:szCs w:val="24"/>
        </w:rPr>
        <w:t xml:space="preserve"> В частности, п. 1 Постановления дополнен новыми </w:t>
      </w:r>
      <w:proofErr w:type="spellStart"/>
      <w:r w:rsidRPr="004B3D56">
        <w:rPr>
          <w:sz w:val="24"/>
          <w:szCs w:val="24"/>
        </w:rPr>
        <w:t>абз</w:t>
      </w:r>
      <w:proofErr w:type="spellEnd"/>
      <w:r w:rsidRPr="004B3D56">
        <w:rPr>
          <w:sz w:val="24"/>
          <w:szCs w:val="24"/>
        </w:rPr>
        <w:t>. 3-5. В соответствии с ними предметом легализации (отмывания) денежных средств или другого имущества, полученных другими лицами преступным путем, или самим лицом в результате совершения им преступления (ст. 174-174.1 Уголовного кодекса), могут выступать денежные средства, преобразованные из виртуальных активов (криптовалюты), приобретенных в результате совершения преступления. Прокуратура РФ, не дожидаясь профильного закона, отзывала иски о блокировке агрегатора биткоин обменников BestChange.ru на основании правок в ГК РФ, доказательства чему доступны в публичном доступе</w:t>
      </w:r>
      <w:r w:rsidRPr="004B3D56">
        <w:rPr>
          <w:vertAlign w:val="superscript"/>
        </w:rPr>
        <w:footnoteReference w:id="1"/>
      </w:r>
      <w:r>
        <w:rPr>
          <w:sz w:val="24"/>
          <w:szCs w:val="24"/>
        </w:rPr>
        <w:t>;</w:t>
      </w:r>
    </w:p>
    <w:p w14:paraId="65D34FF2" w14:textId="77FFC333" w:rsidR="00697A6A" w:rsidRPr="00697A6A" w:rsidRDefault="00697A6A" w:rsidP="00697A6A">
      <w:pPr>
        <w:pStyle w:val="a3"/>
        <w:numPr>
          <w:ilvl w:val="0"/>
          <w:numId w:val="30"/>
        </w:numPr>
        <w:tabs>
          <w:tab w:val="left" w:pos="0"/>
        </w:tabs>
        <w:spacing w:after="0" w:line="276" w:lineRule="auto"/>
        <w:jc w:val="both"/>
        <w:rPr>
          <w:sz w:val="24"/>
          <w:szCs w:val="24"/>
        </w:rPr>
      </w:pPr>
      <w:r w:rsidRPr="00697A6A">
        <w:rPr>
          <w:sz w:val="24"/>
          <w:szCs w:val="24"/>
        </w:rPr>
        <w:t xml:space="preserve">Девятый арбитражный апелляционный суд г. Москвы в деле № А40-124668/2017 (далее – Дело № А40-124668/2017) признал «биткоин» в качестве «иного </w:t>
      </w:r>
      <w:r w:rsidRPr="00697A6A">
        <w:rPr>
          <w:sz w:val="24"/>
          <w:szCs w:val="24"/>
        </w:rPr>
        <w:lastRenderedPageBreak/>
        <w:t>имущества» в контексте объектов гражданских прав, допущенных к обороту согласно статье 128</w:t>
      </w:r>
      <w:r>
        <w:rPr>
          <w:sz w:val="24"/>
          <w:szCs w:val="24"/>
        </w:rPr>
        <w:t> </w:t>
      </w:r>
      <w:r w:rsidRPr="00697A6A">
        <w:rPr>
          <w:sz w:val="24"/>
          <w:szCs w:val="24"/>
        </w:rPr>
        <w:t>ГК РФ</w:t>
      </w:r>
      <w:r>
        <w:rPr>
          <w:sz w:val="24"/>
          <w:szCs w:val="24"/>
        </w:rPr>
        <w:t>;</w:t>
      </w:r>
    </w:p>
    <w:p w14:paraId="4E64F3E5" w14:textId="422B4CEF" w:rsidR="004B3D56" w:rsidRPr="00697A6A" w:rsidRDefault="00697A6A" w:rsidP="00975DB3">
      <w:pPr>
        <w:pStyle w:val="a3"/>
        <w:numPr>
          <w:ilvl w:val="0"/>
          <w:numId w:val="30"/>
        </w:numPr>
        <w:tabs>
          <w:tab w:val="left" w:pos="0"/>
        </w:tabs>
        <w:spacing w:after="0" w:line="276" w:lineRule="auto"/>
        <w:jc w:val="both"/>
        <w:rPr>
          <w:sz w:val="24"/>
          <w:szCs w:val="24"/>
        </w:rPr>
      </w:pPr>
      <w:r w:rsidRPr="00697A6A">
        <w:rPr>
          <w:sz w:val="24"/>
          <w:szCs w:val="24"/>
        </w:rPr>
        <w:t xml:space="preserve">за рубежом – </w:t>
      </w:r>
      <w:r w:rsidR="004B3D56" w:rsidRPr="00697A6A">
        <w:rPr>
          <w:sz w:val="24"/>
          <w:szCs w:val="24"/>
        </w:rPr>
        <w:t>суд Амстердама при рассмотрении спора о банкротстве принял решение, что криптовалюты обладают всеми признаками имущественных прав (C/13/642655 FT RK 18.196</w:t>
      </w:r>
      <w:r w:rsidRPr="00697A6A">
        <w:rPr>
          <w:sz w:val="24"/>
          <w:szCs w:val="24"/>
        </w:rPr>
        <w:t>, начало 2018 года</w:t>
      </w:r>
      <w:r w:rsidR="004B3D56" w:rsidRPr="00697A6A">
        <w:rPr>
          <w:sz w:val="24"/>
          <w:szCs w:val="24"/>
        </w:rPr>
        <w:t>);</w:t>
      </w:r>
      <w:r w:rsidRPr="00697A6A">
        <w:rPr>
          <w:sz w:val="24"/>
          <w:szCs w:val="24"/>
        </w:rPr>
        <w:t xml:space="preserve"> Сингапурский международный коммерческий суд признал </w:t>
      </w:r>
      <w:r w:rsidR="004B3D56" w:rsidRPr="00697A6A">
        <w:rPr>
          <w:sz w:val="24"/>
          <w:szCs w:val="24"/>
        </w:rPr>
        <w:t xml:space="preserve">биткоин имущественными правами </w:t>
      </w:r>
      <w:r w:rsidRPr="00697A6A">
        <w:rPr>
          <w:sz w:val="24"/>
          <w:szCs w:val="24"/>
        </w:rPr>
        <w:t>(</w:t>
      </w:r>
      <w:r w:rsidR="004B3D56" w:rsidRPr="00697A6A">
        <w:rPr>
          <w:sz w:val="24"/>
          <w:szCs w:val="24"/>
        </w:rPr>
        <w:t>дел</w:t>
      </w:r>
      <w:r w:rsidRPr="00697A6A">
        <w:rPr>
          <w:sz w:val="24"/>
          <w:szCs w:val="24"/>
        </w:rPr>
        <w:t>о</w:t>
      </w:r>
      <w:r w:rsidR="001C0D5C">
        <w:rPr>
          <w:sz w:val="24"/>
          <w:szCs w:val="24"/>
        </w:rPr>
        <w:t xml:space="preserve"> B2C2 </w:t>
      </w:r>
      <w:proofErr w:type="spellStart"/>
      <w:r w:rsidR="001C0D5C">
        <w:rPr>
          <w:sz w:val="24"/>
          <w:szCs w:val="24"/>
        </w:rPr>
        <w:t>Ltd</w:t>
      </w:r>
      <w:proofErr w:type="spellEnd"/>
      <w:r w:rsidR="001C0D5C">
        <w:rPr>
          <w:sz w:val="24"/>
          <w:szCs w:val="24"/>
        </w:rPr>
        <w:t xml:space="preserve"> v </w:t>
      </w:r>
      <w:proofErr w:type="spellStart"/>
      <w:r w:rsidR="004B3D56" w:rsidRPr="00697A6A">
        <w:rPr>
          <w:sz w:val="24"/>
          <w:szCs w:val="24"/>
        </w:rPr>
        <w:t>Quoine</w:t>
      </w:r>
      <w:proofErr w:type="spellEnd"/>
      <w:r w:rsidR="004B3D56" w:rsidRPr="00697A6A">
        <w:rPr>
          <w:sz w:val="24"/>
          <w:szCs w:val="24"/>
        </w:rPr>
        <w:t xml:space="preserve"> </w:t>
      </w:r>
      <w:proofErr w:type="spellStart"/>
      <w:r w:rsidR="004B3D56" w:rsidRPr="00697A6A">
        <w:rPr>
          <w:sz w:val="24"/>
          <w:szCs w:val="24"/>
        </w:rPr>
        <w:t>Pte</w:t>
      </w:r>
      <w:proofErr w:type="spellEnd"/>
      <w:r w:rsidR="004B3D56" w:rsidRPr="00697A6A">
        <w:rPr>
          <w:sz w:val="24"/>
          <w:szCs w:val="24"/>
        </w:rPr>
        <w:t xml:space="preserve"> </w:t>
      </w:r>
      <w:proofErr w:type="spellStart"/>
      <w:r w:rsidR="004B3D56" w:rsidRPr="00697A6A">
        <w:rPr>
          <w:sz w:val="24"/>
          <w:szCs w:val="24"/>
        </w:rPr>
        <w:t>Ltd</w:t>
      </w:r>
      <w:proofErr w:type="spellEnd"/>
      <w:r w:rsidR="004B3D56" w:rsidRPr="00697A6A">
        <w:rPr>
          <w:sz w:val="24"/>
          <w:szCs w:val="24"/>
        </w:rPr>
        <w:t>. [2019] SGHC(I)</w:t>
      </w:r>
      <w:r w:rsidRPr="00697A6A">
        <w:rPr>
          <w:sz w:val="24"/>
          <w:szCs w:val="24"/>
        </w:rPr>
        <w:t>)</w:t>
      </w:r>
      <w:r w:rsidR="004B3D56" w:rsidRPr="00697A6A">
        <w:rPr>
          <w:sz w:val="24"/>
          <w:szCs w:val="24"/>
        </w:rPr>
        <w:t>;</w:t>
      </w:r>
      <w:r w:rsidRPr="00697A6A">
        <w:rPr>
          <w:sz w:val="24"/>
          <w:szCs w:val="24"/>
        </w:rPr>
        <w:t xml:space="preserve"> Коммерческий суд Верховного суда Англии и Уэльса признал биткоин имущественными правами (судебный приказ по делу Робертсона, 2019)</w:t>
      </w:r>
      <w:r w:rsidR="004B3D56" w:rsidRPr="00697A6A">
        <w:rPr>
          <w:sz w:val="24"/>
          <w:szCs w:val="24"/>
        </w:rPr>
        <w:t>.</w:t>
      </w:r>
    </w:p>
    <w:p w14:paraId="12170DCA" w14:textId="7CD0EAB4" w:rsidR="00823ACD" w:rsidRDefault="004B3D56" w:rsidP="00823ACD">
      <w:pPr>
        <w:tabs>
          <w:tab w:val="left" w:pos="0"/>
        </w:tabs>
        <w:spacing w:before="60" w:after="0" w:line="276" w:lineRule="auto"/>
        <w:jc w:val="both"/>
        <w:rPr>
          <w:bCs/>
          <w:szCs w:val="24"/>
          <w:u w:val="single"/>
        </w:rPr>
      </w:pPr>
      <w:r>
        <w:rPr>
          <w:sz w:val="24"/>
          <w:szCs w:val="24"/>
        </w:rPr>
        <w:tab/>
      </w:r>
      <w:r w:rsidRPr="004B3D56">
        <w:rPr>
          <w:b/>
          <w:bCs/>
          <w:sz w:val="24"/>
          <w:szCs w:val="24"/>
        </w:rPr>
        <w:t>2.</w:t>
      </w:r>
      <w:r w:rsidR="00746075">
        <w:rPr>
          <w:b/>
          <w:bCs/>
          <w:sz w:val="24"/>
          <w:szCs w:val="24"/>
        </w:rPr>
        <w:t>2</w:t>
      </w:r>
      <w:r w:rsidRPr="004B3D56">
        <w:rPr>
          <w:b/>
          <w:bCs/>
          <w:sz w:val="24"/>
          <w:szCs w:val="24"/>
        </w:rPr>
        <w:t>.</w:t>
      </w:r>
      <w:r>
        <w:rPr>
          <w:sz w:val="24"/>
          <w:szCs w:val="24"/>
        </w:rPr>
        <w:t xml:space="preserve"> </w:t>
      </w:r>
      <w:r w:rsidR="00697A6A">
        <w:rPr>
          <w:sz w:val="24"/>
          <w:szCs w:val="24"/>
        </w:rPr>
        <w:t>В</w:t>
      </w:r>
      <w:r w:rsidR="00823ACD">
        <w:rPr>
          <w:sz w:val="24"/>
          <w:szCs w:val="24"/>
        </w:rPr>
        <w:t xml:space="preserve"> соответствии с требованиями ст. 5 Федерального закона «Об оценочной деятельности в Р</w:t>
      </w:r>
      <w:r w:rsidR="00F3598E">
        <w:rPr>
          <w:sz w:val="24"/>
          <w:szCs w:val="24"/>
        </w:rPr>
        <w:t>Ф</w:t>
      </w:r>
      <w:r w:rsidR="00823ACD">
        <w:rPr>
          <w:sz w:val="24"/>
          <w:szCs w:val="24"/>
        </w:rPr>
        <w:t>» от 29.07.1998 №135-ФЗ</w:t>
      </w:r>
      <w:r w:rsidR="00697A6A">
        <w:rPr>
          <w:sz w:val="24"/>
          <w:szCs w:val="24"/>
        </w:rPr>
        <w:t xml:space="preserve"> объект оценки</w:t>
      </w:r>
      <w:r w:rsidR="00823ACD">
        <w:rPr>
          <w:sz w:val="24"/>
          <w:szCs w:val="24"/>
        </w:rPr>
        <w:t xml:space="preserve"> может </w:t>
      </w:r>
      <w:r w:rsidR="00697A6A">
        <w:rPr>
          <w:sz w:val="24"/>
          <w:szCs w:val="24"/>
        </w:rPr>
        <w:t xml:space="preserve">быть </w:t>
      </w:r>
      <w:r w:rsidR="001C0D5C">
        <w:rPr>
          <w:sz w:val="24"/>
          <w:szCs w:val="24"/>
        </w:rPr>
        <w:t>идентифицирован и </w:t>
      </w:r>
      <w:r w:rsidR="00697A6A">
        <w:rPr>
          <w:sz w:val="24"/>
          <w:szCs w:val="24"/>
        </w:rPr>
        <w:t>сформирован как</w:t>
      </w:r>
      <w:r w:rsidR="00823ACD">
        <w:rPr>
          <w:sz w:val="24"/>
          <w:szCs w:val="24"/>
        </w:rPr>
        <w:t xml:space="preserve">: </w:t>
      </w:r>
      <w:r w:rsidR="00F3598E" w:rsidRPr="00F3598E">
        <w:rPr>
          <w:i/>
          <w:iCs/>
          <w:sz w:val="24"/>
          <w:szCs w:val="24"/>
        </w:rPr>
        <w:t>п</w:t>
      </w:r>
      <w:r w:rsidR="00823ACD" w:rsidRPr="00F3598E">
        <w:rPr>
          <w:i/>
          <w:iCs/>
          <w:sz w:val="24"/>
          <w:szCs w:val="24"/>
        </w:rPr>
        <w:t>раво</w:t>
      </w:r>
      <w:r w:rsidR="00697A6A">
        <w:rPr>
          <w:i/>
          <w:iCs/>
          <w:sz w:val="24"/>
          <w:szCs w:val="24"/>
        </w:rPr>
        <w:t> </w:t>
      </w:r>
      <w:r w:rsidR="00AD1E62">
        <w:rPr>
          <w:i/>
          <w:iCs/>
          <w:sz w:val="24"/>
          <w:szCs w:val="24"/>
        </w:rPr>
        <w:t>(</w:t>
      </w:r>
      <w:r w:rsidR="00823ACD" w:rsidRPr="00F3598E">
        <w:rPr>
          <w:i/>
          <w:iCs/>
          <w:sz w:val="24"/>
          <w:szCs w:val="24"/>
        </w:rPr>
        <w:t>требования</w:t>
      </w:r>
      <w:r w:rsidR="00AD1E62">
        <w:rPr>
          <w:i/>
          <w:iCs/>
          <w:sz w:val="24"/>
          <w:szCs w:val="24"/>
        </w:rPr>
        <w:t>)</w:t>
      </w:r>
      <w:r w:rsidR="00823ACD" w:rsidRPr="00F3598E">
        <w:rPr>
          <w:i/>
          <w:iCs/>
          <w:sz w:val="24"/>
          <w:szCs w:val="24"/>
        </w:rPr>
        <w:t xml:space="preserve"> в отношении содержимого электронного кошелька, находящегося в</w:t>
      </w:r>
      <w:r w:rsidR="00F3598E">
        <w:rPr>
          <w:i/>
          <w:iCs/>
          <w:sz w:val="24"/>
          <w:szCs w:val="24"/>
        </w:rPr>
        <w:t> </w:t>
      </w:r>
      <w:r w:rsidR="00823ACD" w:rsidRPr="00F3598E">
        <w:rPr>
          <w:i/>
          <w:iCs/>
          <w:sz w:val="24"/>
          <w:szCs w:val="24"/>
        </w:rPr>
        <w:t>телекоммуникационной сети «Интерн</w:t>
      </w:r>
      <w:r w:rsidR="001C0D5C">
        <w:rPr>
          <w:i/>
          <w:iCs/>
          <w:sz w:val="24"/>
          <w:szCs w:val="24"/>
        </w:rPr>
        <w:t>ет» по адресу https://btc.com с </w:t>
      </w:r>
      <w:r w:rsidR="00823ACD" w:rsidRPr="00F3598E">
        <w:rPr>
          <w:i/>
          <w:iCs/>
          <w:sz w:val="24"/>
          <w:szCs w:val="24"/>
        </w:rPr>
        <w:t>идентификатором … с</w:t>
      </w:r>
      <w:r w:rsidR="00F3598E">
        <w:rPr>
          <w:i/>
          <w:iCs/>
          <w:sz w:val="24"/>
          <w:szCs w:val="24"/>
        </w:rPr>
        <w:t> </w:t>
      </w:r>
      <w:r w:rsidR="00823ACD" w:rsidRPr="00F3598E">
        <w:rPr>
          <w:i/>
          <w:iCs/>
          <w:sz w:val="24"/>
          <w:szCs w:val="24"/>
        </w:rPr>
        <w:t>балансом … биткоин (</w:t>
      </w:r>
      <w:proofErr w:type="spellStart"/>
      <w:r w:rsidR="00823ACD" w:rsidRPr="00F3598E">
        <w:rPr>
          <w:i/>
          <w:iCs/>
          <w:sz w:val="24"/>
          <w:szCs w:val="24"/>
        </w:rPr>
        <w:t>Тotal</w:t>
      </w:r>
      <w:proofErr w:type="spellEnd"/>
      <w:r w:rsidR="00823ACD" w:rsidRPr="00F3598E">
        <w:rPr>
          <w:i/>
          <w:iCs/>
          <w:sz w:val="24"/>
          <w:szCs w:val="24"/>
        </w:rPr>
        <w:t xml:space="preserve"> </w:t>
      </w:r>
      <w:proofErr w:type="spellStart"/>
      <w:r w:rsidR="00823ACD" w:rsidRPr="00F3598E">
        <w:rPr>
          <w:i/>
          <w:iCs/>
          <w:sz w:val="24"/>
          <w:szCs w:val="24"/>
        </w:rPr>
        <w:t>Ваlanсе</w:t>
      </w:r>
      <w:proofErr w:type="spellEnd"/>
      <w:r w:rsidR="00823ACD" w:rsidRPr="00F3598E">
        <w:rPr>
          <w:i/>
          <w:iCs/>
          <w:sz w:val="24"/>
          <w:szCs w:val="24"/>
        </w:rPr>
        <w:t xml:space="preserve"> / … BTC).</w:t>
      </w:r>
    </w:p>
    <w:p w14:paraId="1D7C5416" w14:textId="3C6211EE" w:rsidR="001E134F" w:rsidRDefault="00823ACD" w:rsidP="00823ACD">
      <w:pPr>
        <w:tabs>
          <w:tab w:val="left" w:pos="0"/>
        </w:tabs>
        <w:spacing w:before="60" w:after="0" w:line="276" w:lineRule="auto"/>
        <w:jc w:val="both"/>
        <w:rPr>
          <w:sz w:val="24"/>
          <w:szCs w:val="24"/>
        </w:rPr>
      </w:pPr>
      <w:r w:rsidRPr="00823ACD">
        <w:rPr>
          <w:sz w:val="24"/>
          <w:szCs w:val="24"/>
        </w:rPr>
        <w:tab/>
      </w:r>
      <w:r w:rsidRPr="00823ACD">
        <w:rPr>
          <w:b/>
          <w:bCs/>
          <w:sz w:val="24"/>
          <w:szCs w:val="24"/>
        </w:rPr>
        <w:t>2.</w:t>
      </w:r>
      <w:r w:rsidR="00746075">
        <w:rPr>
          <w:b/>
          <w:bCs/>
          <w:sz w:val="24"/>
          <w:szCs w:val="24"/>
        </w:rPr>
        <w:t>3</w:t>
      </w:r>
      <w:r w:rsidRPr="00823ACD">
        <w:rPr>
          <w:b/>
          <w:bCs/>
          <w:sz w:val="24"/>
          <w:szCs w:val="24"/>
        </w:rPr>
        <w:t>.</w:t>
      </w:r>
      <w:r w:rsidRPr="00823ACD">
        <w:rPr>
          <w:sz w:val="24"/>
          <w:szCs w:val="24"/>
        </w:rPr>
        <w:t xml:space="preserve"> </w:t>
      </w:r>
      <w:r w:rsidR="004B3D56">
        <w:rPr>
          <w:sz w:val="24"/>
          <w:szCs w:val="24"/>
        </w:rPr>
        <w:t>Принадлежность электронного кошелька конкретному правообладателю может быть установлена нотариальным осмотром, результаты которого фиксируются в Протоколе осмотра письменных доказательств нотариуса</w:t>
      </w:r>
      <w:r w:rsidR="0081600D">
        <w:rPr>
          <w:rStyle w:val="a9"/>
          <w:sz w:val="24"/>
          <w:szCs w:val="24"/>
        </w:rPr>
        <w:footnoteReference w:id="2"/>
      </w:r>
      <w:r w:rsidR="004B3D56">
        <w:rPr>
          <w:sz w:val="24"/>
          <w:szCs w:val="24"/>
        </w:rPr>
        <w:t>.</w:t>
      </w:r>
    </w:p>
    <w:p w14:paraId="14EA01E9" w14:textId="63B53DFB" w:rsidR="00B1313E" w:rsidRDefault="001E134F" w:rsidP="00B1313E">
      <w:pPr>
        <w:tabs>
          <w:tab w:val="left" w:pos="0"/>
        </w:tabs>
        <w:spacing w:before="240" w:after="0" w:line="276" w:lineRule="auto"/>
        <w:jc w:val="both"/>
        <w:rPr>
          <w:sz w:val="24"/>
          <w:szCs w:val="24"/>
        </w:rPr>
      </w:pPr>
      <w:r>
        <w:rPr>
          <w:sz w:val="24"/>
          <w:szCs w:val="24"/>
        </w:rPr>
        <w:tab/>
      </w:r>
      <w:r w:rsidRPr="00823ACD">
        <w:rPr>
          <w:b/>
          <w:bCs/>
          <w:sz w:val="24"/>
          <w:szCs w:val="24"/>
        </w:rPr>
        <w:t>3.</w:t>
      </w:r>
      <w:r>
        <w:rPr>
          <w:sz w:val="24"/>
          <w:szCs w:val="24"/>
        </w:rPr>
        <w:t xml:space="preserve"> </w:t>
      </w:r>
      <w:r w:rsidR="00B1313E">
        <w:rPr>
          <w:sz w:val="24"/>
          <w:szCs w:val="24"/>
        </w:rPr>
        <w:t>Инструменты конвертации цифровых расчетных единиц (криптовалюты) в</w:t>
      </w:r>
      <w:r w:rsidR="00697A6A">
        <w:rPr>
          <w:sz w:val="24"/>
          <w:szCs w:val="24"/>
          <w:lang w:val="en-US"/>
        </w:rPr>
        <w:t> </w:t>
      </w:r>
      <w:r w:rsidR="00B1313E">
        <w:rPr>
          <w:sz w:val="24"/>
          <w:szCs w:val="24"/>
        </w:rPr>
        <w:t>национальную валюту Р</w:t>
      </w:r>
      <w:r w:rsidR="00F3598E">
        <w:rPr>
          <w:sz w:val="24"/>
          <w:szCs w:val="24"/>
        </w:rPr>
        <w:t>Ф</w:t>
      </w:r>
      <w:r w:rsidR="008427A7">
        <w:rPr>
          <w:sz w:val="24"/>
          <w:szCs w:val="24"/>
        </w:rPr>
        <w:t>.</w:t>
      </w:r>
    </w:p>
    <w:p w14:paraId="5A013F64" w14:textId="648510FC" w:rsidR="001E134F" w:rsidRDefault="00B1313E" w:rsidP="00B1313E">
      <w:pPr>
        <w:tabs>
          <w:tab w:val="left" w:pos="0"/>
        </w:tabs>
        <w:spacing w:before="60" w:after="0" w:line="276" w:lineRule="auto"/>
        <w:jc w:val="both"/>
        <w:rPr>
          <w:sz w:val="24"/>
          <w:szCs w:val="24"/>
        </w:rPr>
      </w:pPr>
      <w:r>
        <w:rPr>
          <w:sz w:val="24"/>
          <w:szCs w:val="24"/>
        </w:rPr>
        <w:tab/>
      </w:r>
      <w:r w:rsidRPr="00B1313E">
        <w:rPr>
          <w:b/>
          <w:bCs/>
          <w:sz w:val="24"/>
          <w:szCs w:val="24"/>
        </w:rPr>
        <w:t>3.1.</w:t>
      </w:r>
      <w:r>
        <w:rPr>
          <w:sz w:val="24"/>
          <w:szCs w:val="24"/>
        </w:rPr>
        <w:t xml:space="preserve"> </w:t>
      </w:r>
      <w:r w:rsidR="00823ACD">
        <w:rPr>
          <w:sz w:val="24"/>
          <w:szCs w:val="24"/>
        </w:rPr>
        <w:t xml:space="preserve">Основными инструментами </w:t>
      </w:r>
      <w:r>
        <w:rPr>
          <w:sz w:val="24"/>
          <w:szCs w:val="24"/>
        </w:rPr>
        <w:t>конвертации</w:t>
      </w:r>
      <w:r w:rsidR="00823ACD">
        <w:rPr>
          <w:sz w:val="24"/>
          <w:szCs w:val="24"/>
        </w:rPr>
        <w:t xml:space="preserve"> являются:</w:t>
      </w:r>
    </w:p>
    <w:p w14:paraId="3F9A0076" w14:textId="6B041A1A" w:rsidR="00823ACD" w:rsidRPr="00823ACD" w:rsidRDefault="00823ACD" w:rsidP="00823ACD">
      <w:pPr>
        <w:pStyle w:val="a3"/>
        <w:numPr>
          <w:ilvl w:val="0"/>
          <w:numId w:val="30"/>
        </w:numPr>
        <w:tabs>
          <w:tab w:val="left" w:pos="0"/>
        </w:tabs>
        <w:spacing w:after="0" w:line="276" w:lineRule="auto"/>
        <w:jc w:val="both"/>
        <w:rPr>
          <w:sz w:val="24"/>
          <w:szCs w:val="24"/>
        </w:rPr>
      </w:pPr>
      <w:r>
        <w:rPr>
          <w:sz w:val="24"/>
          <w:szCs w:val="24"/>
        </w:rPr>
        <w:t>о</w:t>
      </w:r>
      <w:r w:rsidRPr="00823ACD">
        <w:rPr>
          <w:sz w:val="24"/>
          <w:szCs w:val="24"/>
        </w:rPr>
        <w:t>бменники криптовалюты (</w:t>
      </w:r>
      <w:proofErr w:type="spellStart"/>
      <w:r w:rsidR="00F3598E">
        <w:rPr>
          <w:sz w:val="24"/>
          <w:szCs w:val="24"/>
        </w:rPr>
        <w:t>к</w:t>
      </w:r>
      <w:r w:rsidRPr="00823ACD">
        <w:rPr>
          <w:sz w:val="24"/>
          <w:szCs w:val="24"/>
        </w:rPr>
        <w:t>риптообменники</w:t>
      </w:r>
      <w:proofErr w:type="spellEnd"/>
      <w:r w:rsidRPr="00823ACD">
        <w:rPr>
          <w:sz w:val="24"/>
          <w:szCs w:val="24"/>
        </w:rPr>
        <w:t xml:space="preserve">) – </w:t>
      </w:r>
      <w:proofErr w:type="spellStart"/>
      <w:r w:rsidRPr="00823ACD">
        <w:rPr>
          <w:sz w:val="24"/>
          <w:szCs w:val="24"/>
        </w:rPr>
        <w:t>Prostocash</w:t>
      </w:r>
      <w:proofErr w:type="spellEnd"/>
      <w:r w:rsidRPr="00823ACD">
        <w:rPr>
          <w:sz w:val="24"/>
          <w:szCs w:val="24"/>
        </w:rPr>
        <w:t xml:space="preserve">, </w:t>
      </w:r>
      <w:proofErr w:type="spellStart"/>
      <w:r w:rsidRPr="00823ACD">
        <w:rPr>
          <w:sz w:val="24"/>
          <w:szCs w:val="24"/>
        </w:rPr>
        <w:t>Ramon</w:t>
      </w:r>
      <w:proofErr w:type="spellEnd"/>
      <w:r w:rsidRPr="00823ACD">
        <w:rPr>
          <w:sz w:val="24"/>
          <w:szCs w:val="24"/>
        </w:rPr>
        <w:t xml:space="preserve"> </w:t>
      </w:r>
      <w:proofErr w:type="spellStart"/>
      <w:r w:rsidRPr="00823ACD">
        <w:rPr>
          <w:sz w:val="24"/>
          <w:szCs w:val="24"/>
        </w:rPr>
        <w:t>Cash</w:t>
      </w:r>
      <w:proofErr w:type="spellEnd"/>
      <w:r w:rsidRPr="00823ACD">
        <w:rPr>
          <w:sz w:val="24"/>
          <w:szCs w:val="24"/>
        </w:rPr>
        <w:t xml:space="preserve">, </w:t>
      </w:r>
      <w:proofErr w:type="spellStart"/>
      <w:r w:rsidRPr="00823ACD">
        <w:rPr>
          <w:sz w:val="24"/>
          <w:szCs w:val="24"/>
        </w:rPr>
        <w:t>Platov</w:t>
      </w:r>
      <w:proofErr w:type="spellEnd"/>
      <w:r w:rsidRPr="00823ACD">
        <w:rPr>
          <w:sz w:val="24"/>
          <w:szCs w:val="24"/>
        </w:rPr>
        <w:t xml:space="preserve">, 60cek, </w:t>
      </w:r>
      <w:proofErr w:type="spellStart"/>
      <w:r w:rsidRPr="00823ACD">
        <w:rPr>
          <w:sz w:val="24"/>
          <w:szCs w:val="24"/>
        </w:rPr>
        <w:t>Baksman</w:t>
      </w:r>
      <w:proofErr w:type="spellEnd"/>
      <w:r w:rsidRPr="00823ACD">
        <w:rPr>
          <w:sz w:val="24"/>
          <w:szCs w:val="24"/>
        </w:rPr>
        <w:t xml:space="preserve">, </w:t>
      </w:r>
      <w:proofErr w:type="spellStart"/>
      <w:r w:rsidRPr="00823ACD">
        <w:rPr>
          <w:sz w:val="24"/>
          <w:szCs w:val="24"/>
        </w:rPr>
        <w:t>Xchange</w:t>
      </w:r>
      <w:proofErr w:type="spellEnd"/>
      <w:r w:rsidRPr="00823ACD">
        <w:rPr>
          <w:sz w:val="24"/>
          <w:szCs w:val="24"/>
        </w:rPr>
        <w:t xml:space="preserve"> и др.;</w:t>
      </w:r>
    </w:p>
    <w:p w14:paraId="5FDD33F8" w14:textId="1A753780" w:rsidR="00823ACD" w:rsidRPr="00823ACD" w:rsidRDefault="00823ACD" w:rsidP="00823ACD">
      <w:pPr>
        <w:pStyle w:val="a3"/>
        <w:numPr>
          <w:ilvl w:val="0"/>
          <w:numId w:val="30"/>
        </w:numPr>
        <w:tabs>
          <w:tab w:val="left" w:pos="0"/>
        </w:tabs>
        <w:spacing w:after="0" w:line="276" w:lineRule="auto"/>
        <w:jc w:val="both"/>
        <w:rPr>
          <w:sz w:val="24"/>
          <w:szCs w:val="24"/>
        </w:rPr>
      </w:pPr>
      <w:proofErr w:type="spellStart"/>
      <w:r>
        <w:rPr>
          <w:sz w:val="24"/>
          <w:szCs w:val="24"/>
        </w:rPr>
        <w:t>к</w:t>
      </w:r>
      <w:r w:rsidRPr="00823ACD">
        <w:rPr>
          <w:sz w:val="24"/>
          <w:szCs w:val="24"/>
        </w:rPr>
        <w:t>риптобиржи</w:t>
      </w:r>
      <w:proofErr w:type="spellEnd"/>
      <w:r w:rsidRPr="00823ACD">
        <w:rPr>
          <w:sz w:val="24"/>
          <w:szCs w:val="24"/>
        </w:rPr>
        <w:t xml:space="preserve"> – например, EXMO;</w:t>
      </w:r>
    </w:p>
    <w:p w14:paraId="50ECFAD9" w14:textId="3C729002" w:rsidR="00823ACD" w:rsidRPr="00823ACD" w:rsidRDefault="00823ACD" w:rsidP="00823ACD">
      <w:pPr>
        <w:pStyle w:val="a3"/>
        <w:numPr>
          <w:ilvl w:val="0"/>
          <w:numId w:val="30"/>
        </w:numPr>
        <w:tabs>
          <w:tab w:val="left" w:pos="0"/>
        </w:tabs>
        <w:spacing w:after="0" w:line="276" w:lineRule="auto"/>
        <w:jc w:val="both"/>
        <w:rPr>
          <w:sz w:val="24"/>
          <w:szCs w:val="24"/>
        </w:rPr>
      </w:pPr>
      <w:r w:rsidRPr="00823ACD">
        <w:rPr>
          <w:sz w:val="24"/>
          <w:szCs w:val="24"/>
        </w:rPr>
        <w:t xml:space="preserve">электронные платежные системы – например, </w:t>
      </w:r>
      <w:proofErr w:type="spellStart"/>
      <w:r w:rsidRPr="00823ACD">
        <w:rPr>
          <w:sz w:val="24"/>
          <w:szCs w:val="24"/>
        </w:rPr>
        <w:t>Advcash</w:t>
      </w:r>
      <w:proofErr w:type="spellEnd"/>
      <w:r w:rsidRPr="00823ACD">
        <w:rPr>
          <w:sz w:val="24"/>
          <w:szCs w:val="24"/>
        </w:rPr>
        <w:t xml:space="preserve"> и </w:t>
      </w:r>
      <w:proofErr w:type="spellStart"/>
      <w:r w:rsidRPr="00823ACD">
        <w:rPr>
          <w:sz w:val="24"/>
          <w:szCs w:val="24"/>
        </w:rPr>
        <w:t>Payeer</w:t>
      </w:r>
      <w:proofErr w:type="spellEnd"/>
      <w:r w:rsidRPr="00823ACD">
        <w:rPr>
          <w:sz w:val="24"/>
          <w:szCs w:val="24"/>
        </w:rPr>
        <w:t>;</w:t>
      </w:r>
    </w:p>
    <w:p w14:paraId="1DA75E47" w14:textId="10F7833E" w:rsidR="00823ACD" w:rsidRPr="00823ACD" w:rsidRDefault="00823ACD" w:rsidP="00823ACD">
      <w:pPr>
        <w:pStyle w:val="a3"/>
        <w:numPr>
          <w:ilvl w:val="0"/>
          <w:numId w:val="30"/>
        </w:numPr>
        <w:tabs>
          <w:tab w:val="left" w:pos="0"/>
        </w:tabs>
        <w:spacing w:after="0" w:line="276" w:lineRule="auto"/>
        <w:jc w:val="both"/>
        <w:rPr>
          <w:sz w:val="24"/>
          <w:szCs w:val="24"/>
        </w:rPr>
      </w:pPr>
      <w:r w:rsidRPr="00823ACD">
        <w:rPr>
          <w:sz w:val="24"/>
          <w:szCs w:val="24"/>
        </w:rPr>
        <w:t xml:space="preserve">сервисы p2p-обмена – например, </w:t>
      </w:r>
      <w:proofErr w:type="spellStart"/>
      <w:r w:rsidRPr="00823ACD">
        <w:rPr>
          <w:sz w:val="24"/>
          <w:szCs w:val="24"/>
        </w:rPr>
        <w:t>Localbitcoins</w:t>
      </w:r>
      <w:proofErr w:type="spellEnd"/>
      <w:r w:rsidR="00F3598E">
        <w:rPr>
          <w:sz w:val="24"/>
          <w:szCs w:val="24"/>
        </w:rPr>
        <w:t>;</w:t>
      </w:r>
    </w:p>
    <w:p w14:paraId="329889D1" w14:textId="6BAA4B30" w:rsidR="00823ACD" w:rsidRPr="00823ACD" w:rsidRDefault="00823ACD" w:rsidP="00823ACD">
      <w:pPr>
        <w:pStyle w:val="a3"/>
        <w:numPr>
          <w:ilvl w:val="0"/>
          <w:numId w:val="30"/>
        </w:numPr>
        <w:tabs>
          <w:tab w:val="left" w:pos="0"/>
        </w:tabs>
        <w:spacing w:after="0" w:line="276" w:lineRule="auto"/>
        <w:jc w:val="both"/>
        <w:rPr>
          <w:sz w:val="24"/>
          <w:szCs w:val="24"/>
        </w:rPr>
      </w:pPr>
      <w:r>
        <w:rPr>
          <w:sz w:val="24"/>
          <w:szCs w:val="24"/>
        </w:rPr>
        <w:t>пр</w:t>
      </w:r>
      <w:r w:rsidRPr="00823ACD">
        <w:rPr>
          <w:sz w:val="24"/>
          <w:szCs w:val="24"/>
        </w:rPr>
        <w:t>ямой пер</w:t>
      </w:r>
      <w:r>
        <w:rPr>
          <w:sz w:val="24"/>
          <w:szCs w:val="24"/>
        </w:rPr>
        <w:t xml:space="preserve">евод средств продавцом и покупателем без использования сторонних сервисов (две независимые транзакции: </w:t>
      </w:r>
      <w:r w:rsidR="00B1313E">
        <w:rPr>
          <w:sz w:val="24"/>
          <w:szCs w:val="24"/>
        </w:rPr>
        <w:t>цифровые расчетные единицы с</w:t>
      </w:r>
      <w:r w:rsidR="00BB4245">
        <w:rPr>
          <w:sz w:val="24"/>
          <w:szCs w:val="24"/>
        </w:rPr>
        <w:t> </w:t>
      </w:r>
      <w:r>
        <w:rPr>
          <w:sz w:val="24"/>
          <w:szCs w:val="24"/>
        </w:rPr>
        <w:t>электронн</w:t>
      </w:r>
      <w:r w:rsidR="00B1313E">
        <w:rPr>
          <w:sz w:val="24"/>
          <w:szCs w:val="24"/>
        </w:rPr>
        <w:t>ого</w:t>
      </w:r>
      <w:r w:rsidRPr="00823ACD">
        <w:rPr>
          <w:sz w:val="24"/>
          <w:szCs w:val="24"/>
        </w:rPr>
        <w:t>-кошел</w:t>
      </w:r>
      <w:r w:rsidR="00B1313E">
        <w:rPr>
          <w:sz w:val="24"/>
          <w:szCs w:val="24"/>
        </w:rPr>
        <w:t>ька</w:t>
      </w:r>
      <w:r w:rsidRPr="00823ACD">
        <w:rPr>
          <w:sz w:val="24"/>
          <w:szCs w:val="24"/>
        </w:rPr>
        <w:t xml:space="preserve"> </w:t>
      </w:r>
      <w:r>
        <w:rPr>
          <w:sz w:val="24"/>
          <w:szCs w:val="24"/>
        </w:rPr>
        <w:t xml:space="preserve">продавца </w:t>
      </w:r>
      <w:r w:rsidR="00526964">
        <w:rPr>
          <w:sz w:val="24"/>
          <w:szCs w:val="24"/>
        </w:rPr>
        <w:sym w:font="Symbol" w:char="F0AE"/>
      </w:r>
      <w:r>
        <w:rPr>
          <w:sz w:val="24"/>
          <w:szCs w:val="24"/>
        </w:rPr>
        <w:t xml:space="preserve"> электронный</w:t>
      </w:r>
      <w:r w:rsidRPr="00823ACD">
        <w:rPr>
          <w:sz w:val="24"/>
          <w:szCs w:val="24"/>
        </w:rPr>
        <w:t>-кошелек покупателя</w:t>
      </w:r>
      <w:r>
        <w:rPr>
          <w:sz w:val="24"/>
          <w:szCs w:val="24"/>
        </w:rPr>
        <w:t xml:space="preserve">; </w:t>
      </w:r>
      <w:r w:rsidR="00B1313E">
        <w:rPr>
          <w:sz w:val="24"/>
          <w:szCs w:val="24"/>
        </w:rPr>
        <w:t>рубли со</w:t>
      </w:r>
      <w:r w:rsidR="00BB4245">
        <w:rPr>
          <w:sz w:val="24"/>
          <w:szCs w:val="24"/>
        </w:rPr>
        <w:t> </w:t>
      </w:r>
      <w:r w:rsidR="00B1313E">
        <w:rPr>
          <w:sz w:val="24"/>
          <w:szCs w:val="24"/>
        </w:rPr>
        <w:t xml:space="preserve">счета покупателя </w:t>
      </w:r>
      <w:r w:rsidR="00526964">
        <w:rPr>
          <w:sz w:val="24"/>
          <w:szCs w:val="24"/>
        </w:rPr>
        <w:sym w:font="Symbol" w:char="F0AE"/>
      </w:r>
      <w:r w:rsidR="00B1313E" w:rsidRPr="00B1313E">
        <w:rPr>
          <w:sz w:val="24"/>
          <w:szCs w:val="24"/>
        </w:rPr>
        <w:t xml:space="preserve"> счет продавца).</w:t>
      </w:r>
    </w:p>
    <w:p w14:paraId="449CC457" w14:textId="4E430FF3" w:rsidR="00B1313E" w:rsidRDefault="00B1313E" w:rsidP="00B1313E">
      <w:pPr>
        <w:tabs>
          <w:tab w:val="left" w:pos="0"/>
        </w:tabs>
        <w:spacing w:before="60" w:after="0" w:line="276" w:lineRule="auto"/>
        <w:jc w:val="both"/>
        <w:rPr>
          <w:sz w:val="24"/>
          <w:szCs w:val="24"/>
        </w:rPr>
      </w:pPr>
      <w:r>
        <w:rPr>
          <w:sz w:val="24"/>
          <w:szCs w:val="24"/>
        </w:rPr>
        <w:tab/>
      </w:r>
      <w:r w:rsidRPr="00B1313E">
        <w:rPr>
          <w:b/>
          <w:bCs/>
          <w:sz w:val="24"/>
          <w:szCs w:val="24"/>
        </w:rPr>
        <w:t>3.2.</w:t>
      </w:r>
      <w:r>
        <w:rPr>
          <w:sz w:val="24"/>
          <w:szCs w:val="24"/>
        </w:rPr>
        <w:t xml:space="preserve"> Каждый из инструментов конвертации характеризуется различными издержками (комиссионными) на совершение конвертации.</w:t>
      </w:r>
    </w:p>
    <w:p w14:paraId="68910D29" w14:textId="175DE5FD" w:rsidR="00B1313E" w:rsidRPr="009425CE" w:rsidRDefault="00B1313E" w:rsidP="00B1313E">
      <w:pPr>
        <w:tabs>
          <w:tab w:val="left" w:pos="0"/>
        </w:tabs>
        <w:spacing w:before="60" w:after="0" w:line="276" w:lineRule="auto"/>
        <w:jc w:val="both"/>
        <w:rPr>
          <w:sz w:val="24"/>
          <w:szCs w:val="24"/>
        </w:rPr>
      </w:pPr>
      <w:r>
        <w:rPr>
          <w:sz w:val="24"/>
          <w:szCs w:val="24"/>
        </w:rPr>
        <w:tab/>
      </w:r>
      <w:r w:rsidRPr="00B1313E">
        <w:rPr>
          <w:b/>
          <w:bCs/>
          <w:sz w:val="24"/>
          <w:szCs w:val="24"/>
        </w:rPr>
        <w:t>3.3.</w:t>
      </w:r>
      <w:r>
        <w:rPr>
          <w:sz w:val="24"/>
          <w:szCs w:val="24"/>
        </w:rPr>
        <w:t xml:space="preserve"> </w:t>
      </w:r>
      <w:r w:rsidR="00D51934" w:rsidRPr="00D51934">
        <w:rPr>
          <w:sz w:val="24"/>
          <w:szCs w:val="24"/>
        </w:rPr>
        <w:t>Выбор инструмента конвертации в расчетной модел</w:t>
      </w:r>
      <w:r w:rsidR="001C0D5C">
        <w:rPr>
          <w:sz w:val="24"/>
          <w:szCs w:val="24"/>
        </w:rPr>
        <w:t>и</w:t>
      </w:r>
      <w:r w:rsidR="00526964">
        <w:rPr>
          <w:sz w:val="24"/>
          <w:szCs w:val="24"/>
        </w:rPr>
        <w:t xml:space="preserve"> и величина расходов на </w:t>
      </w:r>
      <w:r w:rsidR="00D51934" w:rsidRPr="00D51934">
        <w:rPr>
          <w:sz w:val="24"/>
          <w:szCs w:val="24"/>
        </w:rPr>
        <w:t>конвертацию должны быть обоснованы</w:t>
      </w:r>
      <w:r w:rsidR="00D51934">
        <w:rPr>
          <w:sz w:val="24"/>
          <w:szCs w:val="24"/>
        </w:rPr>
        <w:t xml:space="preserve">. </w:t>
      </w:r>
      <w:r>
        <w:rPr>
          <w:sz w:val="24"/>
          <w:szCs w:val="24"/>
        </w:rPr>
        <w:t>На</w:t>
      </w:r>
      <w:r w:rsidR="00BB4245">
        <w:rPr>
          <w:sz w:val="24"/>
          <w:szCs w:val="24"/>
        </w:rPr>
        <w:t> </w:t>
      </w:r>
      <w:r>
        <w:rPr>
          <w:sz w:val="24"/>
          <w:szCs w:val="24"/>
        </w:rPr>
        <w:t xml:space="preserve">дату утверждения настоящих </w:t>
      </w:r>
      <w:r w:rsidR="00F3598E">
        <w:rPr>
          <w:sz w:val="24"/>
          <w:szCs w:val="24"/>
        </w:rPr>
        <w:t>М</w:t>
      </w:r>
      <w:r>
        <w:rPr>
          <w:sz w:val="24"/>
          <w:szCs w:val="24"/>
        </w:rPr>
        <w:t xml:space="preserve">етодических разъяснений </w:t>
      </w:r>
      <w:r w:rsidR="00746075">
        <w:rPr>
          <w:sz w:val="24"/>
          <w:szCs w:val="24"/>
        </w:rPr>
        <w:t>источником информации</w:t>
      </w:r>
      <w:r w:rsidR="00FD1935">
        <w:rPr>
          <w:sz w:val="24"/>
          <w:szCs w:val="24"/>
        </w:rPr>
        <w:t xml:space="preserve"> о расходах</w:t>
      </w:r>
      <w:r w:rsidR="00746075" w:rsidRPr="00746075">
        <w:rPr>
          <w:sz w:val="24"/>
          <w:szCs w:val="24"/>
        </w:rPr>
        <w:t xml:space="preserve"> </w:t>
      </w:r>
      <w:r w:rsidR="00FD1935">
        <w:rPr>
          <w:sz w:val="24"/>
          <w:szCs w:val="24"/>
        </w:rPr>
        <w:t xml:space="preserve">на </w:t>
      </w:r>
      <w:r w:rsidR="00746075">
        <w:rPr>
          <w:sz w:val="24"/>
          <w:szCs w:val="24"/>
        </w:rPr>
        <w:t>конвертаци</w:t>
      </w:r>
      <w:r w:rsidR="00FD1935">
        <w:rPr>
          <w:sz w:val="24"/>
          <w:szCs w:val="24"/>
        </w:rPr>
        <w:t>ю</w:t>
      </w:r>
      <w:r w:rsidR="00746075">
        <w:rPr>
          <w:sz w:val="24"/>
          <w:szCs w:val="24"/>
        </w:rPr>
        <w:t xml:space="preserve">, </w:t>
      </w:r>
      <w:r w:rsidR="00FD1935">
        <w:rPr>
          <w:sz w:val="24"/>
          <w:szCs w:val="24"/>
        </w:rPr>
        <w:t xml:space="preserve">в большей мере </w:t>
      </w:r>
      <w:r w:rsidR="00746075" w:rsidRPr="009425CE">
        <w:rPr>
          <w:sz w:val="24"/>
          <w:szCs w:val="24"/>
        </w:rPr>
        <w:t xml:space="preserve">отвечающим критериям </w:t>
      </w:r>
      <w:proofErr w:type="spellStart"/>
      <w:r w:rsidR="00FD1935" w:rsidRPr="009425CE">
        <w:rPr>
          <w:sz w:val="24"/>
          <w:szCs w:val="24"/>
        </w:rPr>
        <w:t>проверяемости</w:t>
      </w:r>
      <w:proofErr w:type="spellEnd"/>
      <w:r w:rsidR="00746075" w:rsidRPr="009425CE">
        <w:rPr>
          <w:sz w:val="24"/>
          <w:szCs w:val="24"/>
        </w:rPr>
        <w:t xml:space="preserve"> и достоверности, </w:t>
      </w:r>
      <w:r w:rsidR="00FD1935" w:rsidRPr="009425CE">
        <w:rPr>
          <w:sz w:val="24"/>
          <w:szCs w:val="24"/>
        </w:rPr>
        <w:t>является</w:t>
      </w:r>
      <w:r w:rsidR="00746075" w:rsidRPr="009425CE">
        <w:rPr>
          <w:sz w:val="24"/>
          <w:szCs w:val="24"/>
        </w:rPr>
        <w:t xml:space="preserve"> </w:t>
      </w:r>
      <w:proofErr w:type="spellStart"/>
      <w:r w:rsidRPr="009425CE">
        <w:rPr>
          <w:sz w:val="24"/>
          <w:szCs w:val="24"/>
        </w:rPr>
        <w:t>криптобиржа</w:t>
      </w:r>
      <w:proofErr w:type="spellEnd"/>
      <w:r w:rsidRPr="009425CE">
        <w:rPr>
          <w:sz w:val="24"/>
          <w:szCs w:val="24"/>
        </w:rPr>
        <w:t>.</w:t>
      </w:r>
    </w:p>
    <w:p w14:paraId="203F7476" w14:textId="084CDA27" w:rsidR="00823ACD" w:rsidRPr="00F3598E" w:rsidRDefault="00B1313E" w:rsidP="006B6CE7">
      <w:pPr>
        <w:tabs>
          <w:tab w:val="left" w:pos="0"/>
        </w:tabs>
        <w:spacing w:before="240" w:after="0" w:line="276" w:lineRule="auto"/>
        <w:jc w:val="both"/>
        <w:rPr>
          <w:sz w:val="24"/>
          <w:szCs w:val="24"/>
        </w:rPr>
      </w:pPr>
      <w:r w:rsidRPr="009425CE">
        <w:rPr>
          <w:sz w:val="24"/>
          <w:szCs w:val="24"/>
        </w:rPr>
        <w:tab/>
      </w:r>
      <w:r w:rsidRPr="009425CE">
        <w:rPr>
          <w:b/>
          <w:bCs/>
          <w:sz w:val="24"/>
          <w:szCs w:val="24"/>
        </w:rPr>
        <w:t>4.</w:t>
      </w:r>
      <w:r w:rsidRPr="009425CE">
        <w:rPr>
          <w:sz w:val="24"/>
          <w:szCs w:val="24"/>
        </w:rPr>
        <w:t xml:space="preserve"> </w:t>
      </w:r>
      <w:r w:rsidR="00F3598E" w:rsidRPr="009425CE">
        <w:rPr>
          <w:sz w:val="24"/>
          <w:szCs w:val="24"/>
        </w:rPr>
        <w:t>При оценке прав</w:t>
      </w:r>
      <w:r w:rsidR="008427A7" w:rsidRPr="009425CE">
        <w:rPr>
          <w:sz w:val="24"/>
          <w:szCs w:val="24"/>
        </w:rPr>
        <w:t>а</w:t>
      </w:r>
      <w:r w:rsidR="00F3598E" w:rsidRPr="009425CE">
        <w:rPr>
          <w:sz w:val="24"/>
          <w:szCs w:val="24"/>
        </w:rPr>
        <w:t xml:space="preserve"> </w:t>
      </w:r>
      <w:r w:rsidR="008427A7" w:rsidRPr="009425CE">
        <w:rPr>
          <w:sz w:val="24"/>
          <w:szCs w:val="24"/>
        </w:rPr>
        <w:t>(</w:t>
      </w:r>
      <w:r w:rsidR="00F3598E" w:rsidRPr="009425CE">
        <w:rPr>
          <w:sz w:val="24"/>
          <w:szCs w:val="24"/>
        </w:rPr>
        <w:t>требования</w:t>
      </w:r>
      <w:r w:rsidR="008427A7" w:rsidRPr="009425CE">
        <w:rPr>
          <w:sz w:val="24"/>
          <w:szCs w:val="24"/>
        </w:rPr>
        <w:t>)</w:t>
      </w:r>
      <w:r w:rsidR="00F3598E" w:rsidRPr="009425CE">
        <w:rPr>
          <w:sz w:val="24"/>
          <w:szCs w:val="24"/>
        </w:rPr>
        <w:t xml:space="preserve"> в отношении содержимого электронного кошелька следует учитывать издержки на совершение конвертации (п. 3), поскольку </w:t>
      </w:r>
      <w:r w:rsidR="00526964" w:rsidRPr="009425CE">
        <w:rPr>
          <w:sz w:val="24"/>
          <w:szCs w:val="24"/>
        </w:rPr>
        <w:t xml:space="preserve">для типичных рыночных субъектов </w:t>
      </w:r>
      <w:r w:rsidR="00F3598E" w:rsidRPr="009425CE">
        <w:rPr>
          <w:sz w:val="24"/>
          <w:szCs w:val="24"/>
        </w:rPr>
        <w:t>экономическая полезность прав</w:t>
      </w:r>
      <w:r w:rsidR="008427A7" w:rsidRPr="009425CE">
        <w:rPr>
          <w:sz w:val="24"/>
          <w:szCs w:val="24"/>
        </w:rPr>
        <w:t>а</w:t>
      </w:r>
      <w:r w:rsidR="00F3598E" w:rsidRPr="009425CE">
        <w:rPr>
          <w:sz w:val="24"/>
          <w:szCs w:val="24"/>
        </w:rPr>
        <w:t xml:space="preserve"> </w:t>
      </w:r>
      <w:r w:rsidR="008427A7" w:rsidRPr="009425CE">
        <w:rPr>
          <w:sz w:val="24"/>
          <w:szCs w:val="24"/>
        </w:rPr>
        <w:t>(</w:t>
      </w:r>
      <w:r w:rsidR="00F3598E" w:rsidRPr="009425CE">
        <w:rPr>
          <w:sz w:val="24"/>
          <w:szCs w:val="24"/>
        </w:rPr>
        <w:t>требования</w:t>
      </w:r>
      <w:r w:rsidR="008427A7" w:rsidRPr="009425CE">
        <w:rPr>
          <w:sz w:val="24"/>
          <w:szCs w:val="24"/>
        </w:rPr>
        <w:t>)</w:t>
      </w:r>
      <w:r w:rsidR="00F3598E" w:rsidRPr="009425CE">
        <w:rPr>
          <w:sz w:val="24"/>
          <w:szCs w:val="24"/>
        </w:rPr>
        <w:t xml:space="preserve"> ниже, чем номинальная стоимость содержимого электронного кошелька.</w:t>
      </w:r>
      <w:bookmarkStart w:id="1" w:name="_GoBack"/>
      <w:bookmarkEnd w:id="0"/>
      <w:bookmarkEnd w:id="1"/>
    </w:p>
    <w:sectPr w:rsidR="00823ACD" w:rsidRPr="00F3598E" w:rsidSect="00035660">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B418" w14:textId="77777777" w:rsidR="00F1252B" w:rsidRDefault="00F1252B" w:rsidP="003973D9">
      <w:pPr>
        <w:spacing w:after="0" w:line="240" w:lineRule="auto"/>
      </w:pPr>
      <w:r>
        <w:separator/>
      </w:r>
    </w:p>
  </w:endnote>
  <w:endnote w:type="continuationSeparator" w:id="0">
    <w:p w14:paraId="0D5C848E" w14:textId="77777777" w:rsidR="00F1252B" w:rsidRDefault="00F1252B"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913500"/>
      <w:docPartObj>
        <w:docPartGallery w:val="Page Numbers (Bottom of Page)"/>
        <w:docPartUnique/>
      </w:docPartObj>
    </w:sdtPr>
    <w:sdtEndPr/>
    <w:sdtContent>
      <w:p w14:paraId="542ABBFB" w14:textId="77777777" w:rsidR="008F7CA4" w:rsidRDefault="008F7CA4">
        <w:pPr>
          <w:pStyle w:val="af0"/>
          <w:jc w:val="right"/>
        </w:pPr>
        <w:r>
          <w:fldChar w:fldCharType="begin"/>
        </w:r>
        <w:r>
          <w:instrText>PAGE   \* MERGEFORMAT</w:instrText>
        </w:r>
        <w:r>
          <w:fldChar w:fldCharType="separate"/>
        </w:r>
        <w:r w:rsidR="003A471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ED398" w14:textId="77777777" w:rsidR="00F1252B" w:rsidRDefault="00F1252B" w:rsidP="003973D9">
      <w:pPr>
        <w:spacing w:after="0" w:line="240" w:lineRule="auto"/>
      </w:pPr>
      <w:r>
        <w:separator/>
      </w:r>
    </w:p>
  </w:footnote>
  <w:footnote w:type="continuationSeparator" w:id="0">
    <w:p w14:paraId="1C14911F" w14:textId="77777777" w:rsidR="00F1252B" w:rsidRDefault="00F1252B" w:rsidP="003973D9">
      <w:pPr>
        <w:spacing w:after="0" w:line="240" w:lineRule="auto"/>
      </w:pPr>
      <w:r>
        <w:continuationSeparator/>
      </w:r>
    </w:p>
  </w:footnote>
  <w:footnote w:id="1">
    <w:p w14:paraId="755BDA63" w14:textId="77777777" w:rsidR="00AD1E62" w:rsidRDefault="00AD1E62" w:rsidP="00AD1E62">
      <w:pPr>
        <w:widowControl w:val="0"/>
        <w:suppressAutoHyphens/>
        <w:autoSpaceDE w:val="0"/>
        <w:autoSpaceDN w:val="0"/>
        <w:adjustRightInd w:val="0"/>
        <w:spacing w:after="0"/>
        <w:jc w:val="both"/>
      </w:pPr>
      <w:r w:rsidRPr="00F3598E">
        <w:rPr>
          <w:sz w:val="20"/>
          <w:szCs w:val="20"/>
          <w:vertAlign w:val="superscript"/>
        </w:rPr>
        <w:footnoteRef/>
      </w:r>
      <w:r w:rsidRPr="00F3598E">
        <w:rPr>
          <w:sz w:val="20"/>
          <w:szCs w:val="20"/>
          <w:vertAlign w:val="superscript"/>
        </w:rPr>
        <w:t xml:space="preserve"> </w:t>
      </w:r>
      <w:r w:rsidRPr="00F3598E">
        <w:rPr>
          <w:sz w:val="20"/>
          <w:szCs w:val="20"/>
        </w:rPr>
        <w:t>https://cryptovestnik.com/news/772-blokirovka-bestchange-prokuratura-otkazyvaetsya-ot-iska</w:t>
      </w:r>
    </w:p>
  </w:footnote>
  <w:footnote w:id="2">
    <w:p w14:paraId="37F1BA66" w14:textId="7A0774C5" w:rsidR="0081600D" w:rsidRPr="001C0D5C" w:rsidRDefault="0081600D">
      <w:pPr>
        <w:pStyle w:val="a7"/>
      </w:pPr>
      <w:r w:rsidRPr="001C0D5C">
        <w:rPr>
          <w:rStyle w:val="a9"/>
        </w:rPr>
        <w:footnoteRef/>
      </w:r>
      <w:r w:rsidRPr="001C0D5C">
        <w:t xml:space="preserve"> см. например: дело № А40-124668/2017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07BA"/>
    <w:multiLevelType w:val="hybridMultilevel"/>
    <w:tmpl w:val="595A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37DB1"/>
    <w:multiLevelType w:val="hybridMultilevel"/>
    <w:tmpl w:val="8E90A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B1CA6"/>
    <w:multiLevelType w:val="hybridMultilevel"/>
    <w:tmpl w:val="22E65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6510E"/>
    <w:multiLevelType w:val="hybridMultilevel"/>
    <w:tmpl w:val="AA7CE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923471"/>
    <w:multiLevelType w:val="hybridMultilevel"/>
    <w:tmpl w:val="36A00858"/>
    <w:lvl w:ilvl="0" w:tplc="1CF07C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A40CDD"/>
    <w:multiLevelType w:val="hybridMultilevel"/>
    <w:tmpl w:val="670C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FC2E2E"/>
    <w:multiLevelType w:val="hybridMultilevel"/>
    <w:tmpl w:val="A2869C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5FD1E80"/>
    <w:multiLevelType w:val="hybridMultilevel"/>
    <w:tmpl w:val="8C704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E185B"/>
    <w:multiLevelType w:val="multilevel"/>
    <w:tmpl w:val="3B3E2D1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45A6FE5"/>
    <w:multiLevelType w:val="hybridMultilevel"/>
    <w:tmpl w:val="0A3CD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13475F"/>
    <w:multiLevelType w:val="hybridMultilevel"/>
    <w:tmpl w:val="595A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0A4311"/>
    <w:multiLevelType w:val="hybridMultilevel"/>
    <w:tmpl w:val="496655F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3621"/>
    <w:multiLevelType w:val="hybridMultilevel"/>
    <w:tmpl w:val="BA4EE8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BC1664C"/>
    <w:multiLevelType w:val="hybridMultilevel"/>
    <w:tmpl w:val="656C75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410C91"/>
    <w:multiLevelType w:val="hybridMultilevel"/>
    <w:tmpl w:val="8898A1B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5A5A71E0"/>
    <w:multiLevelType w:val="hybridMultilevel"/>
    <w:tmpl w:val="EEF23D8A"/>
    <w:lvl w:ilvl="0" w:tplc="7F3E0F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EB4F83"/>
    <w:multiLevelType w:val="hybridMultilevel"/>
    <w:tmpl w:val="B99651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12D5491"/>
    <w:multiLevelType w:val="hybridMultilevel"/>
    <w:tmpl w:val="FE3A9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E11D0C"/>
    <w:multiLevelType w:val="hybridMultilevel"/>
    <w:tmpl w:val="0366C7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4206EE9"/>
    <w:multiLevelType w:val="hybridMultilevel"/>
    <w:tmpl w:val="636C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BF5FB5"/>
    <w:multiLevelType w:val="hybridMultilevel"/>
    <w:tmpl w:val="BB84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8B168B"/>
    <w:multiLevelType w:val="hybridMultilevel"/>
    <w:tmpl w:val="0BB45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9775BC"/>
    <w:multiLevelType w:val="hybridMultilevel"/>
    <w:tmpl w:val="F67C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6339E"/>
    <w:multiLevelType w:val="hybridMultilevel"/>
    <w:tmpl w:val="CF6AA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41C1806"/>
    <w:multiLevelType w:val="hybridMultilevel"/>
    <w:tmpl w:val="AE26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A641EC"/>
    <w:multiLevelType w:val="hybridMultilevel"/>
    <w:tmpl w:val="F132A364"/>
    <w:lvl w:ilvl="0" w:tplc="74461FBC">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8508D8"/>
    <w:multiLevelType w:val="hybridMultilevel"/>
    <w:tmpl w:val="CC30CC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B3E41B1"/>
    <w:multiLevelType w:val="hybridMultilevel"/>
    <w:tmpl w:val="C6869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B611C62"/>
    <w:multiLevelType w:val="multilevel"/>
    <w:tmpl w:val="29A4E2F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9" w15:restartNumberingAfterBreak="0">
    <w:nsid w:val="7D2C43F6"/>
    <w:multiLevelType w:val="hybridMultilevel"/>
    <w:tmpl w:val="19041FF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7"/>
  </w:num>
  <w:num w:numId="2">
    <w:abstractNumId w:val="24"/>
  </w:num>
  <w:num w:numId="3">
    <w:abstractNumId w:val="22"/>
  </w:num>
  <w:num w:numId="4">
    <w:abstractNumId w:val="3"/>
  </w:num>
  <w:num w:numId="5">
    <w:abstractNumId w:val="27"/>
  </w:num>
  <w:num w:numId="6">
    <w:abstractNumId w:val="26"/>
  </w:num>
  <w:num w:numId="7">
    <w:abstractNumId w:val="20"/>
  </w:num>
  <w:num w:numId="8">
    <w:abstractNumId w:val="13"/>
  </w:num>
  <w:num w:numId="9">
    <w:abstractNumId w:val="25"/>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0"/>
  </w:num>
  <w:num w:numId="15">
    <w:abstractNumId w:val="1"/>
  </w:num>
  <w:num w:numId="16">
    <w:abstractNumId w:val="15"/>
  </w:num>
  <w:num w:numId="17">
    <w:abstractNumId w:val="21"/>
  </w:num>
  <w:num w:numId="18">
    <w:abstractNumId w:val="7"/>
  </w:num>
  <w:num w:numId="19">
    <w:abstractNumId w:val="2"/>
  </w:num>
  <w:num w:numId="20">
    <w:abstractNumId w:val="19"/>
  </w:num>
  <w:num w:numId="21">
    <w:abstractNumId w:val="28"/>
  </w:num>
  <w:num w:numId="22">
    <w:abstractNumId w:val="6"/>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5"/>
  </w:num>
  <w:num w:numId="28">
    <w:abstractNumId w:val="18"/>
  </w:num>
  <w:num w:numId="29">
    <w:abstractNumId w:val="11"/>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7A"/>
    <w:rsid w:val="0000277E"/>
    <w:rsid w:val="00002BD5"/>
    <w:rsid w:val="00002E9F"/>
    <w:rsid w:val="00006760"/>
    <w:rsid w:val="00007EF4"/>
    <w:rsid w:val="00010BBD"/>
    <w:rsid w:val="00011C7D"/>
    <w:rsid w:val="0001628C"/>
    <w:rsid w:val="00017977"/>
    <w:rsid w:val="00017DE0"/>
    <w:rsid w:val="000240A6"/>
    <w:rsid w:val="00024482"/>
    <w:rsid w:val="00027AF7"/>
    <w:rsid w:val="00031250"/>
    <w:rsid w:val="00033FA9"/>
    <w:rsid w:val="00034F53"/>
    <w:rsid w:val="00035660"/>
    <w:rsid w:val="00036FE7"/>
    <w:rsid w:val="00051217"/>
    <w:rsid w:val="00052926"/>
    <w:rsid w:val="00053AE1"/>
    <w:rsid w:val="00061499"/>
    <w:rsid w:val="00062D25"/>
    <w:rsid w:val="00066E15"/>
    <w:rsid w:val="00067D37"/>
    <w:rsid w:val="00071F3B"/>
    <w:rsid w:val="00073707"/>
    <w:rsid w:val="00074F38"/>
    <w:rsid w:val="000817A6"/>
    <w:rsid w:val="00082AEB"/>
    <w:rsid w:val="000876AC"/>
    <w:rsid w:val="000910AC"/>
    <w:rsid w:val="0009273D"/>
    <w:rsid w:val="0009709C"/>
    <w:rsid w:val="00097C18"/>
    <w:rsid w:val="000A095B"/>
    <w:rsid w:val="000A6A23"/>
    <w:rsid w:val="000B058F"/>
    <w:rsid w:val="000B1FE2"/>
    <w:rsid w:val="000B3319"/>
    <w:rsid w:val="000B7718"/>
    <w:rsid w:val="000C095D"/>
    <w:rsid w:val="000C0B34"/>
    <w:rsid w:val="000C58C5"/>
    <w:rsid w:val="000C6F7A"/>
    <w:rsid w:val="000D1021"/>
    <w:rsid w:val="000D27AF"/>
    <w:rsid w:val="000D4E13"/>
    <w:rsid w:val="000D52C8"/>
    <w:rsid w:val="000D6BE3"/>
    <w:rsid w:val="000E0906"/>
    <w:rsid w:val="000E34BF"/>
    <w:rsid w:val="000E5B27"/>
    <w:rsid w:val="000E6FE4"/>
    <w:rsid w:val="000E7E6D"/>
    <w:rsid w:val="000F01F7"/>
    <w:rsid w:val="000F571E"/>
    <w:rsid w:val="000F57CC"/>
    <w:rsid w:val="000F6094"/>
    <w:rsid w:val="00101375"/>
    <w:rsid w:val="0010674F"/>
    <w:rsid w:val="00111329"/>
    <w:rsid w:val="00112BD9"/>
    <w:rsid w:val="001166C2"/>
    <w:rsid w:val="001179F7"/>
    <w:rsid w:val="001236A4"/>
    <w:rsid w:val="001237AD"/>
    <w:rsid w:val="00125CAF"/>
    <w:rsid w:val="0012746A"/>
    <w:rsid w:val="00130619"/>
    <w:rsid w:val="001315FC"/>
    <w:rsid w:val="00132680"/>
    <w:rsid w:val="0013434A"/>
    <w:rsid w:val="00141D4F"/>
    <w:rsid w:val="00143378"/>
    <w:rsid w:val="0014345F"/>
    <w:rsid w:val="00145B7F"/>
    <w:rsid w:val="00146073"/>
    <w:rsid w:val="00146163"/>
    <w:rsid w:val="0014684A"/>
    <w:rsid w:val="001514B2"/>
    <w:rsid w:val="00153621"/>
    <w:rsid w:val="001539E1"/>
    <w:rsid w:val="001552E6"/>
    <w:rsid w:val="00155E42"/>
    <w:rsid w:val="00156683"/>
    <w:rsid w:val="0016104D"/>
    <w:rsid w:val="001634E2"/>
    <w:rsid w:val="00164CE3"/>
    <w:rsid w:val="00164D16"/>
    <w:rsid w:val="00167278"/>
    <w:rsid w:val="00170F05"/>
    <w:rsid w:val="00181612"/>
    <w:rsid w:val="0018228E"/>
    <w:rsid w:val="001838EB"/>
    <w:rsid w:val="00185859"/>
    <w:rsid w:val="00186C0A"/>
    <w:rsid w:val="001878AB"/>
    <w:rsid w:val="0019082C"/>
    <w:rsid w:val="00190CB9"/>
    <w:rsid w:val="00190F63"/>
    <w:rsid w:val="00191E58"/>
    <w:rsid w:val="0019260C"/>
    <w:rsid w:val="001930ED"/>
    <w:rsid w:val="001946EA"/>
    <w:rsid w:val="00194759"/>
    <w:rsid w:val="00196D4D"/>
    <w:rsid w:val="001A074B"/>
    <w:rsid w:val="001A1A08"/>
    <w:rsid w:val="001A2811"/>
    <w:rsid w:val="001A3200"/>
    <w:rsid w:val="001A3872"/>
    <w:rsid w:val="001A53E7"/>
    <w:rsid w:val="001A63EB"/>
    <w:rsid w:val="001A64B6"/>
    <w:rsid w:val="001B175B"/>
    <w:rsid w:val="001B1F02"/>
    <w:rsid w:val="001B70E8"/>
    <w:rsid w:val="001C0D5C"/>
    <w:rsid w:val="001C3E2A"/>
    <w:rsid w:val="001C5F4B"/>
    <w:rsid w:val="001D24BF"/>
    <w:rsid w:val="001D5CFA"/>
    <w:rsid w:val="001D70FB"/>
    <w:rsid w:val="001E134F"/>
    <w:rsid w:val="001E355D"/>
    <w:rsid w:val="001E4F97"/>
    <w:rsid w:val="001E6425"/>
    <w:rsid w:val="001E7ADD"/>
    <w:rsid w:val="001F12AF"/>
    <w:rsid w:val="001F6400"/>
    <w:rsid w:val="001F6E09"/>
    <w:rsid w:val="001F7759"/>
    <w:rsid w:val="00203CB1"/>
    <w:rsid w:val="0020766E"/>
    <w:rsid w:val="002101D4"/>
    <w:rsid w:val="00210239"/>
    <w:rsid w:val="0021196F"/>
    <w:rsid w:val="00214DCB"/>
    <w:rsid w:val="00216852"/>
    <w:rsid w:val="00216B87"/>
    <w:rsid w:val="002235FD"/>
    <w:rsid w:val="00223D82"/>
    <w:rsid w:val="00224346"/>
    <w:rsid w:val="002249AB"/>
    <w:rsid w:val="0022586A"/>
    <w:rsid w:val="00230E8F"/>
    <w:rsid w:val="002432C9"/>
    <w:rsid w:val="00243C51"/>
    <w:rsid w:val="002447DB"/>
    <w:rsid w:val="00245C08"/>
    <w:rsid w:val="00246E5C"/>
    <w:rsid w:val="00250753"/>
    <w:rsid w:val="002512C8"/>
    <w:rsid w:val="002520E7"/>
    <w:rsid w:val="0025211B"/>
    <w:rsid w:val="00255DB5"/>
    <w:rsid w:val="00256664"/>
    <w:rsid w:val="002636FD"/>
    <w:rsid w:val="00264266"/>
    <w:rsid w:val="00264F28"/>
    <w:rsid w:val="00274C05"/>
    <w:rsid w:val="00281521"/>
    <w:rsid w:val="002836A5"/>
    <w:rsid w:val="00286B27"/>
    <w:rsid w:val="00287501"/>
    <w:rsid w:val="00291263"/>
    <w:rsid w:val="0029389D"/>
    <w:rsid w:val="00293C9E"/>
    <w:rsid w:val="002964DF"/>
    <w:rsid w:val="00297179"/>
    <w:rsid w:val="002A0491"/>
    <w:rsid w:val="002A258A"/>
    <w:rsid w:val="002A3403"/>
    <w:rsid w:val="002A6CB5"/>
    <w:rsid w:val="002A7A72"/>
    <w:rsid w:val="002B0DF1"/>
    <w:rsid w:val="002B3421"/>
    <w:rsid w:val="002B3B94"/>
    <w:rsid w:val="002C3C21"/>
    <w:rsid w:val="002C3E01"/>
    <w:rsid w:val="002C7D1F"/>
    <w:rsid w:val="002D0DE4"/>
    <w:rsid w:val="002D117E"/>
    <w:rsid w:val="002D229A"/>
    <w:rsid w:val="002D715D"/>
    <w:rsid w:val="002D7AD3"/>
    <w:rsid w:val="002E07DB"/>
    <w:rsid w:val="002E4504"/>
    <w:rsid w:val="002E45B5"/>
    <w:rsid w:val="002F2E87"/>
    <w:rsid w:val="002F65D7"/>
    <w:rsid w:val="00301E50"/>
    <w:rsid w:val="003029C3"/>
    <w:rsid w:val="00304917"/>
    <w:rsid w:val="00305D26"/>
    <w:rsid w:val="00310373"/>
    <w:rsid w:val="0031246A"/>
    <w:rsid w:val="00315DB8"/>
    <w:rsid w:val="00317984"/>
    <w:rsid w:val="003206A7"/>
    <w:rsid w:val="003212ED"/>
    <w:rsid w:val="0032131C"/>
    <w:rsid w:val="00326A6F"/>
    <w:rsid w:val="00333CAA"/>
    <w:rsid w:val="003369D6"/>
    <w:rsid w:val="00340205"/>
    <w:rsid w:val="00347CD8"/>
    <w:rsid w:val="00350507"/>
    <w:rsid w:val="00350B95"/>
    <w:rsid w:val="00351BC8"/>
    <w:rsid w:val="00352177"/>
    <w:rsid w:val="003567D6"/>
    <w:rsid w:val="0035769A"/>
    <w:rsid w:val="00360025"/>
    <w:rsid w:val="003627D7"/>
    <w:rsid w:val="003642F9"/>
    <w:rsid w:val="0036601E"/>
    <w:rsid w:val="00366518"/>
    <w:rsid w:val="00375A18"/>
    <w:rsid w:val="00384692"/>
    <w:rsid w:val="00385C60"/>
    <w:rsid w:val="003869AB"/>
    <w:rsid w:val="00393418"/>
    <w:rsid w:val="003943DF"/>
    <w:rsid w:val="00395482"/>
    <w:rsid w:val="003973D9"/>
    <w:rsid w:val="003A0166"/>
    <w:rsid w:val="003A0207"/>
    <w:rsid w:val="003A08D7"/>
    <w:rsid w:val="003A169D"/>
    <w:rsid w:val="003A1C03"/>
    <w:rsid w:val="003A3C3B"/>
    <w:rsid w:val="003A471F"/>
    <w:rsid w:val="003A6EF3"/>
    <w:rsid w:val="003B4AC6"/>
    <w:rsid w:val="003C057E"/>
    <w:rsid w:val="003C496F"/>
    <w:rsid w:val="003C55BD"/>
    <w:rsid w:val="003C7102"/>
    <w:rsid w:val="003D0BA6"/>
    <w:rsid w:val="003D190D"/>
    <w:rsid w:val="003D4982"/>
    <w:rsid w:val="003D4C54"/>
    <w:rsid w:val="003D65D5"/>
    <w:rsid w:val="003D70E2"/>
    <w:rsid w:val="003E1D4F"/>
    <w:rsid w:val="003E32ED"/>
    <w:rsid w:val="003E6E55"/>
    <w:rsid w:val="003E78CB"/>
    <w:rsid w:val="003F0E85"/>
    <w:rsid w:val="003F489F"/>
    <w:rsid w:val="003F4C7C"/>
    <w:rsid w:val="003F72D0"/>
    <w:rsid w:val="00404C6A"/>
    <w:rsid w:val="00407F3B"/>
    <w:rsid w:val="00413E3C"/>
    <w:rsid w:val="00416214"/>
    <w:rsid w:val="004173E7"/>
    <w:rsid w:val="004201BB"/>
    <w:rsid w:val="00426282"/>
    <w:rsid w:val="00430800"/>
    <w:rsid w:val="0044085E"/>
    <w:rsid w:val="004443C9"/>
    <w:rsid w:val="004507DA"/>
    <w:rsid w:val="00451F2B"/>
    <w:rsid w:val="00452868"/>
    <w:rsid w:val="00454131"/>
    <w:rsid w:val="00457253"/>
    <w:rsid w:val="0045734A"/>
    <w:rsid w:val="00460CE3"/>
    <w:rsid w:val="004619BC"/>
    <w:rsid w:val="00463382"/>
    <w:rsid w:val="00464DDD"/>
    <w:rsid w:val="004653BD"/>
    <w:rsid w:val="004674ED"/>
    <w:rsid w:val="00471D3A"/>
    <w:rsid w:val="0047256A"/>
    <w:rsid w:val="0047436C"/>
    <w:rsid w:val="004747DB"/>
    <w:rsid w:val="00475D49"/>
    <w:rsid w:val="00475F6F"/>
    <w:rsid w:val="00476092"/>
    <w:rsid w:val="004800E5"/>
    <w:rsid w:val="0048085C"/>
    <w:rsid w:val="00480FA7"/>
    <w:rsid w:val="00484E73"/>
    <w:rsid w:val="00486FAE"/>
    <w:rsid w:val="00487770"/>
    <w:rsid w:val="004930BA"/>
    <w:rsid w:val="004A0115"/>
    <w:rsid w:val="004A1CFB"/>
    <w:rsid w:val="004A4BF3"/>
    <w:rsid w:val="004A7456"/>
    <w:rsid w:val="004B3D56"/>
    <w:rsid w:val="004B621F"/>
    <w:rsid w:val="004B7628"/>
    <w:rsid w:val="004C1517"/>
    <w:rsid w:val="004C2815"/>
    <w:rsid w:val="004C58CF"/>
    <w:rsid w:val="004D5FD1"/>
    <w:rsid w:val="004E3967"/>
    <w:rsid w:val="004E6BF5"/>
    <w:rsid w:val="004E7D82"/>
    <w:rsid w:val="004F0BC8"/>
    <w:rsid w:val="004F2A95"/>
    <w:rsid w:val="00501AA2"/>
    <w:rsid w:val="00503556"/>
    <w:rsid w:val="0050380A"/>
    <w:rsid w:val="00504455"/>
    <w:rsid w:val="0051186B"/>
    <w:rsid w:val="00511C17"/>
    <w:rsid w:val="00512B90"/>
    <w:rsid w:val="00514528"/>
    <w:rsid w:val="00514FAE"/>
    <w:rsid w:val="00520473"/>
    <w:rsid w:val="00523C8D"/>
    <w:rsid w:val="00524D43"/>
    <w:rsid w:val="00524E06"/>
    <w:rsid w:val="00526964"/>
    <w:rsid w:val="00530786"/>
    <w:rsid w:val="005338FA"/>
    <w:rsid w:val="00537565"/>
    <w:rsid w:val="005404AA"/>
    <w:rsid w:val="0054085A"/>
    <w:rsid w:val="005443C5"/>
    <w:rsid w:val="00544AA0"/>
    <w:rsid w:val="00544F62"/>
    <w:rsid w:val="005470E3"/>
    <w:rsid w:val="00547D88"/>
    <w:rsid w:val="00553A49"/>
    <w:rsid w:val="00554234"/>
    <w:rsid w:val="00554BF2"/>
    <w:rsid w:val="00556178"/>
    <w:rsid w:val="00557ABE"/>
    <w:rsid w:val="005636C2"/>
    <w:rsid w:val="005639A3"/>
    <w:rsid w:val="00571B8D"/>
    <w:rsid w:val="00575637"/>
    <w:rsid w:val="0057581C"/>
    <w:rsid w:val="00575F66"/>
    <w:rsid w:val="005801A8"/>
    <w:rsid w:val="00581606"/>
    <w:rsid w:val="00586A75"/>
    <w:rsid w:val="00586F4F"/>
    <w:rsid w:val="005945D0"/>
    <w:rsid w:val="00596239"/>
    <w:rsid w:val="0059701E"/>
    <w:rsid w:val="005A1D9D"/>
    <w:rsid w:val="005A4BA4"/>
    <w:rsid w:val="005A518B"/>
    <w:rsid w:val="005A5501"/>
    <w:rsid w:val="005A7528"/>
    <w:rsid w:val="005A7BE2"/>
    <w:rsid w:val="005B3A43"/>
    <w:rsid w:val="005B5016"/>
    <w:rsid w:val="005C191F"/>
    <w:rsid w:val="005C7C1D"/>
    <w:rsid w:val="005D0A0B"/>
    <w:rsid w:val="005D1B96"/>
    <w:rsid w:val="005D2474"/>
    <w:rsid w:val="005D24E3"/>
    <w:rsid w:val="005D2BDA"/>
    <w:rsid w:val="005D3DA3"/>
    <w:rsid w:val="005D3F8B"/>
    <w:rsid w:val="005D4C7A"/>
    <w:rsid w:val="005D5171"/>
    <w:rsid w:val="005D54D2"/>
    <w:rsid w:val="005D6DA7"/>
    <w:rsid w:val="005E1A01"/>
    <w:rsid w:val="005E3A88"/>
    <w:rsid w:val="005E3D8F"/>
    <w:rsid w:val="005E69FB"/>
    <w:rsid w:val="005E6C0D"/>
    <w:rsid w:val="005E71E5"/>
    <w:rsid w:val="005F1F48"/>
    <w:rsid w:val="005F2895"/>
    <w:rsid w:val="005F36F2"/>
    <w:rsid w:val="005F3F2D"/>
    <w:rsid w:val="005F73CB"/>
    <w:rsid w:val="006015F6"/>
    <w:rsid w:val="0060204C"/>
    <w:rsid w:val="006037B5"/>
    <w:rsid w:val="00604DEF"/>
    <w:rsid w:val="00620872"/>
    <w:rsid w:val="00621288"/>
    <w:rsid w:val="00621AF2"/>
    <w:rsid w:val="00622CD6"/>
    <w:rsid w:val="006261D2"/>
    <w:rsid w:val="00632DD6"/>
    <w:rsid w:val="0063346B"/>
    <w:rsid w:val="006364BD"/>
    <w:rsid w:val="00636FFD"/>
    <w:rsid w:val="00640940"/>
    <w:rsid w:val="00640C5A"/>
    <w:rsid w:val="006423C9"/>
    <w:rsid w:val="0064491D"/>
    <w:rsid w:val="006455F6"/>
    <w:rsid w:val="0064729E"/>
    <w:rsid w:val="00653D40"/>
    <w:rsid w:val="00672707"/>
    <w:rsid w:val="00680177"/>
    <w:rsid w:val="00682080"/>
    <w:rsid w:val="00682493"/>
    <w:rsid w:val="00682547"/>
    <w:rsid w:val="00683BC0"/>
    <w:rsid w:val="00683FA6"/>
    <w:rsid w:val="0068651F"/>
    <w:rsid w:val="00687F7B"/>
    <w:rsid w:val="006901D1"/>
    <w:rsid w:val="0069417E"/>
    <w:rsid w:val="00695EEA"/>
    <w:rsid w:val="00695F0D"/>
    <w:rsid w:val="00697A6A"/>
    <w:rsid w:val="006A062D"/>
    <w:rsid w:val="006A0D7A"/>
    <w:rsid w:val="006A1F05"/>
    <w:rsid w:val="006B03AA"/>
    <w:rsid w:val="006B35C1"/>
    <w:rsid w:val="006B4154"/>
    <w:rsid w:val="006B4F62"/>
    <w:rsid w:val="006B6CE7"/>
    <w:rsid w:val="006B74DA"/>
    <w:rsid w:val="006C49DA"/>
    <w:rsid w:val="006C4D5D"/>
    <w:rsid w:val="006C50D6"/>
    <w:rsid w:val="006C5141"/>
    <w:rsid w:val="006C7CEF"/>
    <w:rsid w:val="006D40FF"/>
    <w:rsid w:val="006D4836"/>
    <w:rsid w:val="006E591D"/>
    <w:rsid w:val="006E7724"/>
    <w:rsid w:val="006F260A"/>
    <w:rsid w:val="006F2B37"/>
    <w:rsid w:val="00702D18"/>
    <w:rsid w:val="007065A2"/>
    <w:rsid w:val="00706AE9"/>
    <w:rsid w:val="00711236"/>
    <w:rsid w:val="00714572"/>
    <w:rsid w:val="00721518"/>
    <w:rsid w:val="00723FCF"/>
    <w:rsid w:val="0072522B"/>
    <w:rsid w:val="00726EEE"/>
    <w:rsid w:val="00733175"/>
    <w:rsid w:val="0073324E"/>
    <w:rsid w:val="0073369A"/>
    <w:rsid w:val="00734C92"/>
    <w:rsid w:val="007367D9"/>
    <w:rsid w:val="00741C41"/>
    <w:rsid w:val="00741DD2"/>
    <w:rsid w:val="00746075"/>
    <w:rsid w:val="00746E6C"/>
    <w:rsid w:val="0075022D"/>
    <w:rsid w:val="00750612"/>
    <w:rsid w:val="007527E3"/>
    <w:rsid w:val="00753327"/>
    <w:rsid w:val="007546C8"/>
    <w:rsid w:val="007576BA"/>
    <w:rsid w:val="007601C2"/>
    <w:rsid w:val="00760B0C"/>
    <w:rsid w:val="00760BE8"/>
    <w:rsid w:val="00761C89"/>
    <w:rsid w:val="007622D8"/>
    <w:rsid w:val="0076326B"/>
    <w:rsid w:val="00764086"/>
    <w:rsid w:val="00766BA0"/>
    <w:rsid w:val="007724B7"/>
    <w:rsid w:val="00772821"/>
    <w:rsid w:val="00772A58"/>
    <w:rsid w:val="00773955"/>
    <w:rsid w:val="00774E6B"/>
    <w:rsid w:val="00775840"/>
    <w:rsid w:val="00780A8A"/>
    <w:rsid w:val="00783A8D"/>
    <w:rsid w:val="00784993"/>
    <w:rsid w:val="00785167"/>
    <w:rsid w:val="00785A62"/>
    <w:rsid w:val="00785D06"/>
    <w:rsid w:val="00792484"/>
    <w:rsid w:val="007B11B4"/>
    <w:rsid w:val="007B20CF"/>
    <w:rsid w:val="007B6C4C"/>
    <w:rsid w:val="007B77D2"/>
    <w:rsid w:val="007C2936"/>
    <w:rsid w:val="007C2C49"/>
    <w:rsid w:val="007C6D37"/>
    <w:rsid w:val="007D068C"/>
    <w:rsid w:val="007D14E1"/>
    <w:rsid w:val="007D5532"/>
    <w:rsid w:val="007E0B3F"/>
    <w:rsid w:val="007E1220"/>
    <w:rsid w:val="007F009F"/>
    <w:rsid w:val="007F2281"/>
    <w:rsid w:val="007F47DC"/>
    <w:rsid w:val="00801AEC"/>
    <w:rsid w:val="00802CDF"/>
    <w:rsid w:val="00803FE0"/>
    <w:rsid w:val="0080570D"/>
    <w:rsid w:val="008059B6"/>
    <w:rsid w:val="00811224"/>
    <w:rsid w:val="0081173A"/>
    <w:rsid w:val="00811BB6"/>
    <w:rsid w:val="0081438C"/>
    <w:rsid w:val="0081600D"/>
    <w:rsid w:val="00816E3F"/>
    <w:rsid w:val="00817EF9"/>
    <w:rsid w:val="00822607"/>
    <w:rsid w:val="008232E9"/>
    <w:rsid w:val="00823ACD"/>
    <w:rsid w:val="00824216"/>
    <w:rsid w:val="00824321"/>
    <w:rsid w:val="008244BC"/>
    <w:rsid w:val="00825D45"/>
    <w:rsid w:val="0082681D"/>
    <w:rsid w:val="0082691C"/>
    <w:rsid w:val="00831A52"/>
    <w:rsid w:val="00831CFF"/>
    <w:rsid w:val="008321AF"/>
    <w:rsid w:val="00832A8A"/>
    <w:rsid w:val="00833C7E"/>
    <w:rsid w:val="008343A8"/>
    <w:rsid w:val="00834D82"/>
    <w:rsid w:val="00835A80"/>
    <w:rsid w:val="00836140"/>
    <w:rsid w:val="00836A56"/>
    <w:rsid w:val="00840CE4"/>
    <w:rsid w:val="00840FF6"/>
    <w:rsid w:val="008427A7"/>
    <w:rsid w:val="0084774B"/>
    <w:rsid w:val="00847827"/>
    <w:rsid w:val="00852B57"/>
    <w:rsid w:val="00853C53"/>
    <w:rsid w:val="00854E03"/>
    <w:rsid w:val="0085799F"/>
    <w:rsid w:val="0086119F"/>
    <w:rsid w:val="00863575"/>
    <w:rsid w:val="00864E1A"/>
    <w:rsid w:val="0086769D"/>
    <w:rsid w:val="00870439"/>
    <w:rsid w:val="00870DF1"/>
    <w:rsid w:val="00872481"/>
    <w:rsid w:val="00872827"/>
    <w:rsid w:val="00872E22"/>
    <w:rsid w:val="00874043"/>
    <w:rsid w:val="00874678"/>
    <w:rsid w:val="00877540"/>
    <w:rsid w:val="00883D79"/>
    <w:rsid w:val="00887E5A"/>
    <w:rsid w:val="00895364"/>
    <w:rsid w:val="008A37D9"/>
    <w:rsid w:val="008A3A15"/>
    <w:rsid w:val="008A7488"/>
    <w:rsid w:val="008B0D1A"/>
    <w:rsid w:val="008B1776"/>
    <w:rsid w:val="008B6CBF"/>
    <w:rsid w:val="008B73C9"/>
    <w:rsid w:val="008C01AB"/>
    <w:rsid w:val="008C0599"/>
    <w:rsid w:val="008C228F"/>
    <w:rsid w:val="008C38BE"/>
    <w:rsid w:val="008C50B6"/>
    <w:rsid w:val="008C5E5F"/>
    <w:rsid w:val="008C7440"/>
    <w:rsid w:val="008D0E09"/>
    <w:rsid w:val="008D193D"/>
    <w:rsid w:val="008D20F0"/>
    <w:rsid w:val="008D21A3"/>
    <w:rsid w:val="008D37BF"/>
    <w:rsid w:val="008D3C9F"/>
    <w:rsid w:val="008D4EBE"/>
    <w:rsid w:val="008D578C"/>
    <w:rsid w:val="008D774E"/>
    <w:rsid w:val="008D7F75"/>
    <w:rsid w:val="008E2082"/>
    <w:rsid w:val="008E3AE8"/>
    <w:rsid w:val="008F05B4"/>
    <w:rsid w:val="008F1C1D"/>
    <w:rsid w:val="008F2270"/>
    <w:rsid w:val="008F4AC1"/>
    <w:rsid w:val="008F7CA4"/>
    <w:rsid w:val="00901243"/>
    <w:rsid w:val="00906743"/>
    <w:rsid w:val="00906ABA"/>
    <w:rsid w:val="00906ED1"/>
    <w:rsid w:val="00913FA7"/>
    <w:rsid w:val="00917BED"/>
    <w:rsid w:val="00922374"/>
    <w:rsid w:val="00923378"/>
    <w:rsid w:val="0093244C"/>
    <w:rsid w:val="0093533F"/>
    <w:rsid w:val="009360F0"/>
    <w:rsid w:val="009368CF"/>
    <w:rsid w:val="00937A98"/>
    <w:rsid w:val="00940DCF"/>
    <w:rsid w:val="009425CE"/>
    <w:rsid w:val="009426F6"/>
    <w:rsid w:val="00950084"/>
    <w:rsid w:val="00951BDF"/>
    <w:rsid w:val="00951E29"/>
    <w:rsid w:val="0095321E"/>
    <w:rsid w:val="00953E4B"/>
    <w:rsid w:val="00955017"/>
    <w:rsid w:val="0095602F"/>
    <w:rsid w:val="00961B6E"/>
    <w:rsid w:val="00965D48"/>
    <w:rsid w:val="009673FE"/>
    <w:rsid w:val="00972972"/>
    <w:rsid w:val="009756CF"/>
    <w:rsid w:val="00975AFA"/>
    <w:rsid w:val="00976A0A"/>
    <w:rsid w:val="00982EF6"/>
    <w:rsid w:val="00987954"/>
    <w:rsid w:val="00990DF2"/>
    <w:rsid w:val="00991480"/>
    <w:rsid w:val="00996E70"/>
    <w:rsid w:val="009A06DA"/>
    <w:rsid w:val="009A11D4"/>
    <w:rsid w:val="009A16CF"/>
    <w:rsid w:val="009A1E27"/>
    <w:rsid w:val="009A485A"/>
    <w:rsid w:val="009A6104"/>
    <w:rsid w:val="009A6595"/>
    <w:rsid w:val="009A6DD1"/>
    <w:rsid w:val="009B04F9"/>
    <w:rsid w:val="009B375C"/>
    <w:rsid w:val="009B3D0C"/>
    <w:rsid w:val="009B56CA"/>
    <w:rsid w:val="009C0185"/>
    <w:rsid w:val="009C456A"/>
    <w:rsid w:val="009C5E34"/>
    <w:rsid w:val="009C6B4E"/>
    <w:rsid w:val="009D052E"/>
    <w:rsid w:val="009D0624"/>
    <w:rsid w:val="009D17D8"/>
    <w:rsid w:val="009D1EAB"/>
    <w:rsid w:val="009D3FDC"/>
    <w:rsid w:val="009D673C"/>
    <w:rsid w:val="009D764D"/>
    <w:rsid w:val="009D7884"/>
    <w:rsid w:val="009E2546"/>
    <w:rsid w:val="009E3589"/>
    <w:rsid w:val="009E49E3"/>
    <w:rsid w:val="009F04BB"/>
    <w:rsid w:val="009F09B6"/>
    <w:rsid w:val="009F276B"/>
    <w:rsid w:val="00A10F35"/>
    <w:rsid w:val="00A1189B"/>
    <w:rsid w:val="00A174C9"/>
    <w:rsid w:val="00A17A43"/>
    <w:rsid w:val="00A24514"/>
    <w:rsid w:val="00A24ED3"/>
    <w:rsid w:val="00A256B9"/>
    <w:rsid w:val="00A26FFF"/>
    <w:rsid w:val="00A33A7E"/>
    <w:rsid w:val="00A33D7C"/>
    <w:rsid w:val="00A348C2"/>
    <w:rsid w:val="00A377CD"/>
    <w:rsid w:val="00A418AC"/>
    <w:rsid w:val="00A476A9"/>
    <w:rsid w:val="00A552F4"/>
    <w:rsid w:val="00A55716"/>
    <w:rsid w:val="00A55732"/>
    <w:rsid w:val="00A56AB9"/>
    <w:rsid w:val="00A60080"/>
    <w:rsid w:val="00A6219B"/>
    <w:rsid w:val="00A64384"/>
    <w:rsid w:val="00A64902"/>
    <w:rsid w:val="00A6560B"/>
    <w:rsid w:val="00A656FD"/>
    <w:rsid w:val="00A65DE8"/>
    <w:rsid w:val="00A71A6C"/>
    <w:rsid w:val="00A71C10"/>
    <w:rsid w:val="00A72867"/>
    <w:rsid w:val="00A7297D"/>
    <w:rsid w:val="00A74B92"/>
    <w:rsid w:val="00A74D0E"/>
    <w:rsid w:val="00A7671E"/>
    <w:rsid w:val="00A77A50"/>
    <w:rsid w:val="00A8096B"/>
    <w:rsid w:val="00A81BE7"/>
    <w:rsid w:val="00A83E14"/>
    <w:rsid w:val="00A86D6E"/>
    <w:rsid w:val="00A90485"/>
    <w:rsid w:val="00A91311"/>
    <w:rsid w:val="00A9392B"/>
    <w:rsid w:val="00A95BAC"/>
    <w:rsid w:val="00A967FB"/>
    <w:rsid w:val="00AA3C9B"/>
    <w:rsid w:val="00AA46C8"/>
    <w:rsid w:val="00AA4B0D"/>
    <w:rsid w:val="00AA57C0"/>
    <w:rsid w:val="00AA6C7C"/>
    <w:rsid w:val="00AA7574"/>
    <w:rsid w:val="00AB08F7"/>
    <w:rsid w:val="00AB3703"/>
    <w:rsid w:val="00AB6139"/>
    <w:rsid w:val="00AC381E"/>
    <w:rsid w:val="00AC40CA"/>
    <w:rsid w:val="00AC4502"/>
    <w:rsid w:val="00AC6825"/>
    <w:rsid w:val="00AD1C76"/>
    <w:rsid w:val="00AD1E62"/>
    <w:rsid w:val="00AD5EC2"/>
    <w:rsid w:val="00AD766E"/>
    <w:rsid w:val="00AE2E00"/>
    <w:rsid w:val="00AE3F8F"/>
    <w:rsid w:val="00AE4C18"/>
    <w:rsid w:val="00AE742F"/>
    <w:rsid w:val="00AF122B"/>
    <w:rsid w:val="00AF1806"/>
    <w:rsid w:val="00AF55F6"/>
    <w:rsid w:val="00AF6B12"/>
    <w:rsid w:val="00AF70BA"/>
    <w:rsid w:val="00AF715C"/>
    <w:rsid w:val="00AF7C15"/>
    <w:rsid w:val="00B04333"/>
    <w:rsid w:val="00B052EC"/>
    <w:rsid w:val="00B07638"/>
    <w:rsid w:val="00B101D3"/>
    <w:rsid w:val="00B1313E"/>
    <w:rsid w:val="00B14D38"/>
    <w:rsid w:val="00B202D5"/>
    <w:rsid w:val="00B22FC8"/>
    <w:rsid w:val="00B24571"/>
    <w:rsid w:val="00B264E3"/>
    <w:rsid w:val="00B26C55"/>
    <w:rsid w:val="00B30BDA"/>
    <w:rsid w:val="00B3376A"/>
    <w:rsid w:val="00B34DF0"/>
    <w:rsid w:val="00B4046D"/>
    <w:rsid w:val="00B41AD4"/>
    <w:rsid w:val="00B42B27"/>
    <w:rsid w:val="00B50EA2"/>
    <w:rsid w:val="00B51D27"/>
    <w:rsid w:val="00B576D1"/>
    <w:rsid w:val="00B63442"/>
    <w:rsid w:val="00B64C74"/>
    <w:rsid w:val="00B6579D"/>
    <w:rsid w:val="00B72BB7"/>
    <w:rsid w:val="00B7330B"/>
    <w:rsid w:val="00B73427"/>
    <w:rsid w:val="00B76230"/>
    <w:rsid w:val="00B76C71"/>
    <w:rsid w:val="00B852C7"/>
    <w:rsid w:val="00B92DB3"/>
    <w:rsid w:val="00B93B0D"/>
    <w:rsid w:val="00B949A9"/>
    <w:rsid w:val="00B94ADD"/>
    <w:rsid w:val="00B96BC2"/>
    <w:rsid w:val="00BA15FE"/>
    <w:rsid w:val="00BA1B21"/>
    <w:rsid w:val="00BA4D29"/>
    <w:rsid w:val="00BA56B1"/>
    <w:rsid w:val="00BA6719"/>
    <w:rsid w:val="00BA67B4"/>
    <w:rsid w:val="00BA6FEA"/>
    <w:rsid w:val="00BB0504"/>
    <w:rsid w:val="00BB233A"/>
    <w:rsid w:val="00BB4245"/>
    <w:rsid w:val="00BB5309"/>
    <w:rsid w:val="00BB57EE"/>
    <w:rsid w:val="00BC2947"/>
    <w:rsid w:val="00BC4008"/>
    <w:rsid w:val="00BC70B8"/>
    <w:rsid w:val="00BC7307"/>
    <w:rsid w:val="00BC7F56"/>
    <w:rsid w:val="00BD1CDE"/>
    <w:rsid w:val="00BD3197"/>
    <w:rsid w:val="00BD35C6"/>
    <w:rsid w:val="00BE04BC"/>
    <w:rsid w:val="00BE3686"/>
    <w:rsid w:val="00BE375B"/>
    <w:rsid w:val="00BE684E"/>
    <w:rsid w:val="00BF32D0"/>
    <w:rsid w:val="00BF49E3"/>
    <w:rsid w:val="00BF5128"/>
    <w:rsid w:val="00BF51CF"/>
    <w:rsid w:val="00BF51EE"/>
    <w:rsid w:val="00BF57EB"/>
    <w:rsid w:val="00BF7F40"/>
    <w:rsid w:val="00C00674"/>
    <w:rsid w:val="00C05627"/>
    <w:rsid w:val="00C065F6"/>
    <w:rsid w:val="00C15CC2"/>
    <w:rsid w:val="00C16746"/>
    <w:rsid w:val="00C2163A"/>
    <w:rsid w:val="00C21AB6"/>
    <w:rsid w:val="00C231FD"/>
    <w:rsid w:val="00C25AA0"/>
    <w:rsid w:val="00C34D48"/>
    <w:rsid w:val="00C3510B"/>
    <w:rsid w:val="00C3570F"/>
    <w:rsid w:val="00C40248"/>
    <w:rsid w:val="00C40DB4"/>
    <w:rsid w:val="00C435CD"/>
    <w:rsid w:val="00C435D5"/>
    <w:rsid w:val="00C44720"/>
    <w:rsid w:val="00C46799"/>
    <w:rsid w:val="00C4688C"/>
    <w:rsid w:val="00C471BD"/>
    <w:rsid w:val="00C52E27"/>
    <w:rsid w:val="00C5582D"/>
    <w:rsid w:val="00C60BE3"/>
    <w:rsid w:val="00C65199"/>
    <w:rsid w:val="00C6612C"/>
    <w:rsid w:val="00C70707"/>
    <w:rsid w:val="00C70F57"/>
    <w:rsid w:val="00C710B0"/>
    <w:rsid w:val="00C7245F"/>
    <w:rsid w:val="00C776EE"/>
    <w:rsid w:val="00C8016A"/>
    <w:rsid w:val="00C82555"/>
    <w:rsid w:val="00C84A85"/>
    <w:rsid w:val="00C84B23"/>
    <w:rsid w:val="00C86987"/>
    <w:rsid w:val="00C92222"/>
    <w:rsid w:val="00C955A6"/>
    <w:rsid w:val="00C97185"/>
    <w:rsid w:val="00CA1FF3"/>
    <w:rsid w:val="00CA33E3"/>
    <w:rsid w:val="00CA69A5"/>
    <w:rsid w:val="00CB246D"/>
    <w:rsid w:val="00CB3966"/>
    <w:rsid w:val="00CC0268"/>
    <w:rsid w:val="00CC2712"/>
    <w:rsid w:val="00CC7105"/>
    <w:rsid w:val="00CD0BC8"/>
    <w:rsid w:val="00CD2023"/>
    <w:rsid w:val="00CD649B"/>
    <w:rsid w:val="00CE1246"/>
    <w:rsid w:val="00CE4252"/>
    <w:rsid w:val="00CE5359"/>
    <w:rsid w:val="00CE5583"/>
    <w:rsid w:val="00CF0D66"/>
    <w:rsid w:val="00CF68BA"/>
    <w:rsid w:val="00CF75A9"/>
    <w:rsid w:val="00D00F6B"/>
    <w:rsid w:val="00D01908"/>
    <w:rsid w:val="00D02FC7"/>
    <w:rsid w:val="00D034B1"/>
    <w:rsid w:val="00D04BE7"/>
    <w:rsid w:val="00D05F51"/>
    <w:rsid w:val="00D1007A"/>
    <w:rsid w:val="00D11082"/>
    <w:rsid w:val="00D1135B"/>
    <w:rsid w:val="00D1375D"/>
    <w:rsid w:val="00D14D8A"/>
    <w:rsid w:val="00D23046"/>
    <w:rsid w:val="00D24154"/>
    <w:rsid w:val="00D24240"/>
    <w:rsid w:val="00D256F9"/>
    <w:rsid w:val="00D2728B"/>
    <w:rsid w:val="00D34740"/>
    <w:rsid w:val="00D4386C"/>
    <w:rsid w:val="00D43A50"/>
    <w:rsid w:val="00D450A3"/>
    <w:rsid w:val="00D45801"/>
    <w:rsid w:val="00D51934"/>
    <w:rsid w:val="00D51A4F"/>
    <w:rsid w:val="00D51D22"/>
    <w:rsid w:val="00D51E55"/>
    <w:rsid w:val="00D531DC"/>
    <w:rsid w:val="00D54056"/>
    <w:rsid w:val="00D614C1"/>
    <w:rsid w:val="00D67F02"/>
    <w:rsid w:val="00D705BB"/>
    <w:rsid w:val="00D76C13"/>
    <w:rsid w:val="00D77EEA"/>
    <w:rsid w:val="00D8327C"/>
    <w:rsid w:val="00D84D17"/>
    <w:rsid w:val="00D85333"/>
    <w:rsid w:val="00D85929"/>
    <w:rsid w:val="00D85BA3"/>
    <w:rsid w:val="00D860D1"/>
    <w:rsid w:val="00D86B27"/>
    <w:rsid w:val="00D87C8B"/>
    <w:rsid w:val="00D924CE"/>
    <w:rsid w:val="00D928CF"/>
    <w:rsid w:val="00D9403D"/>
    <w:rsid w:val="00D94B6E"/>
    <w:rsid w:val="00D9567B"/>
    <w:rsid w:val="00DA79DC"/>
    <w:rsid w:val="00DB0483"/>
    <w:rsid w:val="00DB1567"/>
    <w:rsid w:val="00DB3F64"/>
    <w:rsid w:val="00DB5C69"/>
    <w:rsid w:val="00DB6138"/>
    <w:rsid w:val="00DC131F"/>
    <w:rsid w:val="00DC1CD4"/>
    <w:rsid w:val="00DC42AC"/>
    <w:rsid w:val="00DC6221"/>
    <w:rsid w:val="00DC6C24"/>
    <w:rsid w:val="00DC7BB4"/>
    <w:rsid w:val="00DD2DA7"/>
    <w:rsid w:val="00DD5278"/>
    <w:rsid w:val="00DD67BF"/>
    <w:rsid w:val="00DD7D44"/>
    <w:rsid w:val="00DE055D"/>
    <w:rsid w:val="00DE3925"/>
    <w:rsid w:val="00DE3F6B"/>
    <w:rsid w:val="00DE53C5"/>
    <w:rsid w:val="00DE5648"/>
    <w:rsid w:val="00DE5D80"/>
    <w:rsid w:val="00DF0725"/>
    <w:rsid w:val="00DF077D"/>
    <w:rsid w:val="00E004D3"/>
    <w:rsid w:val="00E00741"/>
    <w:rsid w:val="00E03177"/>
    <w:rsid w:val="00E03532"/>
    <w:rsid w:val="00E05CCA"/>
    <w:rsid w:val="00E0606C"/>
    <w:rsid w:val="00E06B00"/>
    <w:rsid w:val="00E11C7C"/>
    <w:rsid w:val="00E14D22"/>
    <w:rsid w:val="00E14E54"/>
    <w:rsid w:val="00E2440E"/>
    <w:rsid w:val="00E266E5"/>
    <w:rsid w:val="00E266FA"/>
    <w:rsid w:val="00E27166"/>
    <w:rsid w:val="00E27430"/>
    <w:rsid w:val="00E3585B"/>
    <w:rsid w:val="00E35970"/>
    <w:rsid w:val="00E36F34"/>
    <w:rsid w:val="00E45AB0"/>
    <w:rsid w:val="00E475F6"/>
    <w:rsid w:val="00E52BF6"/>
    <w:rsid w:val="00E54A63"/>
    <w:rsid w:val="00E57A91"/>
    <w:rsid w:val="00E60309"/>
    <w:rsid w:val="00E64670"/>
    <w:rsid w:val="00E6584C"/>
    <w:rsid w:val="00E6725F"/>
    <w:rsid w:val="00E708AB"/>
    <w:rsid w:val="00E71041"/>
    <w:rsid w:val="00E71B24"/>
    <w:rsid w:val="00E72560"/>
    <w:rsid w:val="00E77832"/>
    <w:rsid w:val="00E83476"/>
    <w:rsid w:val="00E83674"/>
    <w:rsid w:val="00E837D7"/>
    <w:rsid w:val="00E840AD"/>
    <w:rsid w:val="00E841E9"/>
    <w:rsid w:val="00E8427D"/>
    <w:rsid w:val="00E8498E"/>
    <w:rsid w:val="00E8705D"/>
    <w:rsid w:val="00E940BA"/>
    <w:rsid w:val="00E9477E"/>
    <w:rsid w:val="00E95DA6"/>
    <w:rsid w:val="00E9621B"/>
    <w:rsid w:val="00E97A02"/>
    <w:rsid w:val="00EA03F0"/>
    <w:rsid w:val="00EA3CAB"/>
    <w:rsid w:val="00EB2B95"/>
    <w:rsid w:val="00EB3A6B"/>
    <w:rsid w:val="00EB5C74"/>
    <w:rsid w:val="00EB7AF7"/>
    <w:rsid w:val="00EC0B2A"/>
    <w:rsid w:val="00EC1B33"/>
    <w:rsid w:val="00EC3A24"/>
    <w:rsid w:val="00EC4F04"/>
    <w:rsid w:val="00EC554F"/>
    <w:rsid w:val="00EC588A"/>
    <w:rsid w:val="00EC5D3E"/>
    <w:rsid w:val="00ED1636"/>
    <w:rsid w:val="00ED1EF1"/>
    <w:rsid w:val="00ED2611"/>
    <w:rsid w:val="00ED339B"/>
    <w:rsid w:val="00ED48F3"/>
    <w:rsid w:val="00ED609D"/>
    <w:rsid w:val="00ED7A14"/>
    <w:rsid w:val="00EE0122"/>
    <w:rsid w:val="00EE066D"/>
    <w:rsid w:val="00EE2228"/>
    <w:rsid w:val="00EE4444"/>
    <w:rsid w:val="00EE4812"/>
    <w:rsid w:val="00EF15DE"/>
    <w:rsid w:val="00EF38A4"/>
    <w:rsid w:val="00EF4407"/>
    <w:rsid w:val="00EF7CD1"/>
    <w:rsid w:val="00F00A3E"/>
    <w:rsid w:val="00F00A67"/>
    <w:rsid w:val="00F01D23"/>
    <w:rsid w:val="00F020F3"/>
    <w:rsid w:val="00F03A67"/>
    <w:rsid w:val="00F043A1"/>
    <w:rsid w:val="00F0543E"/>
    <w:rsid w:val="00F06299"/>
    <w:rsid w:val="00F073ED"/>
    <w:rsid w:val="00F07EEB"/>
    <w:rsid w:val="00F1001C"/>
    <w:rsid w:val="00F11F80"/>
    <w:rsid w:val="00F1252B"/>
    <w:rsid w:val="00F14184"/>
    <w:rsid w:val="00F141A2"/>
    <w:rsid w:val="00F158FD"/>
    <w:rsid w:val="00F169AE"/>
    <w:rsid w:val="00F17B18"/>
    <w:rsid w:val="00F21A72"/>
    <w:rsid w:val="00F22C8E"/>
    <w:rsid w:val="00F250F6"/>
    <w:rsid w:val="00F263C2"/>
    <w:rsid w:val="00F26A4B"/>
    <w:rsid w:val="00F30411"/>
    <w:rsid w:val="00F3598E"/>
    <w:rsid w:val="00F42850"/>
    <w:rsid w:val="00F4542B"/>
    <w:rsid w:val="00F46540"/>
    <w:rsid w:val="00F50117"/>
    <w:rsid w:val="00F50614"/>
    <w:rsid w:val="00F5382E"/>
    <w:rsid w:val="00F5440F"/>
    <w:rsid w:val="00F548B2"/>
    <w:rsid w:val="00F562B9"/>
    <w:rsid w:val="00F5634B"/>
    <w:rsid w:val="00F568E1"/>
    <w:rsid w:val="00F72529"/>
    <w:rsid w:val="00F8022D"/>
    <w:rsid w:val="00F80701"/>
    <w:rsid w:val="00F80795"/>
    <w:rsid w:val="00F82632"/>
    <w:rsid w:val="00F850B9"/>
    <w:rsid w:val="00F868C0"/>
    <w:rsid w:val="00F9084E"/>
    <w:rsid w:val="00F90AD4"/>
    <w:rsid w:val="00F93AB0"/>
    <w:rsid w:val="00F97161"/>
    <w:rsid w:val="00FA263B"/>
    <w:rsid w:val="00FA7A72"/>
    <w:rsid w:val="00FB2C8D"/>
    <w:rsid w:val="00FB589A"/>
    <w:rsid w:val="00FB63CD"/>
    <w:rsid w:val="00FC3E28"/>
    <w:rsid w:val="00FC4995"/>
    <w:rsid w:val="00FC66FE"/>
    <w:rsid w:val="00FC6830"/>
    <w:rsid w:val="00FD08C7"/>
    <w:rsid w:val="00FD1935"/>
    <w:rsid w:val="00FD262F"/>
    <w:rsid w:val="00FD2F0A"/>
    <w:rsid w:val="00FD4CBB"/>
    <w:rsid w:val="00FD6CBF"/>
    <w:rsid w:val="00FE00ED"/>
    <w:rsid w:val="00FE5E78"/>
    <w:rsid w:val="00FE626C"/>
    <w:rsid w:val="00FF1129"/>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F962"/>
  <w15:docId w15:val="{8A9751B2-3F16-4704-8DDE-017DEE36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5E34"/>
    <w:pPr>
      <w:ind w:left="720"/>
      <w:contextualSpacing/>
    </w:pPr>
  </w:style>
  <w:style w:type="paragraph" w:styleId="a5">
    <w:name w:val="Balloon Text"/>
    <w:basedOn w:val="a"/>
    <w:link w:val="a6"/>
    <w:uiPriority w:val="99"/>
    <w:semiHidden/>
    <w:unhideWhenUsed/>
    <w:rsid w:val="00754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6C8"/>
    <w:rPr>
      <w:rFonts w:ascii="Tahoma" w:hAnsi="Tahoma" w:cs="Tahoma"/>
      <w:sz w:val="16"/>
      <w:szCs w:val="16"/>
    </w:rPr>
  </w:style>
  <w:style w:type="paragraph" w:styleId="a7">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
    <w:link w:val="a8"/>
    <w:uiPriority w:val="99"/>
    <w:unhideWhenUsed/>
    <w:rsid w:val="003973D9"/>
    <w:pPr>
      <w:spacing w:after="0" w:line="240" w:lineRule="auto"/>
    </w:pPr>
    <w:rPr>
      <w:sz w:val="20"/>
      <w:szCs w:val="20"/>
    </w:rPr>
  </w:style>
  <w:style w:type="character" w:customStyle="1" w:styleId="a8">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0"/>
    <w:link w:val="a7"/>
    <w:uiPriority w:val="99"/>
    <w:rsid w:val="003973D9"/>
    <w:rPr>
      <w:sz w:val="20"/>
      <w:szCs w:val="20"/>
    </w:rPr>
  </w:style>
  <w:style w:type="character" w:styleId="a9">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0"/>
    <w:semiHidden/>
    <w:unhideWhenUsed/>
    <w:rsid w:val="003973D9"/>
    <w:rPr>
      <w:vertAlign w:val="superscript"/>
    </w:rPr>
  </w:style>
  <w:style w:type="character" w:styleId="aa">
    <w:name w:val="Hyperlink"/>
    <w:basedOn w:val="a0"/>
    <w:uiPriority w:val="99"/>
    <w:unhideWhenUsed/>
    <w:rsid w:val="00620872"/>
    <w:rPr>
      <w:color w:val="0563C1" w:themeColor="hyperlink"/>
      <w:u w:val="single"/>
    </w:rPr>
  </w:style>
  <w:style w:type="paragraph" w:styleId="ab">
    <w:name w:val="Title"/>
    <w:basedOn w:val="a"/>
    <w:link w:val="ac"/>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Заголовок Знак"/>
    <w:basedOn w:val="a0"/>
    <w:link w:val="ab"/>
    <w:uiPriority w:val="99"/>
    <w:rsid w:val="00486FAE"/>
    <w:rPr>
      <w:rFonts w:ascii="Times New Roman" w:eastAsia="Times New Roman" w:hAnsi="Times New Roman" w:cs="Times New Roman"/>
      <w:b/>
      <w:bCs/>
      <w:sz w:val="24"/>
      <w:szCs w:val="24"/>
      <w:lang w:eastAsia="ru-RU"/>
    </w:rPr>
  </w:style>
  <w:style w:type="table" w:styleId="ad">
    <w:name w:val="Table Grid"/>
    <w:basedOn w:val="a1"/>
    <w:uiPriority w:val="3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4">
    <w:name w:val="Абзац списка Знак"/>
    <w:link w:val="a3"/>
    <w:uiPriority w:val="34"/>
    <w:locked/>
    <w:rsid w:val="009C6B4E"/>
  </w:style>
  <w:style w:type="character" w:customStyle="1" w:styleId="11">
    <w:name w:val="Неразрешенное упоминание1"/>
    <w:basedOn w:val="a0"/>
    <w:uiPriority w:val="99"/>
    <w:semiHidden/>
    <w:unhideWhenUsed/>
    <w:rsid w:val="00B41AD4"/>
    <w:rPr>
      <w:color w:val="605E5C"/>
      <w:shd w:val="clear" w:color="auto" w:fill="E1DFDD"/>
    </w:rPr>
  </w:style>
  <w:style w:type="paragraph" w:styleId="ae">
    <w:name w:val="header"/>
    <w:basedOn w:val="a"/>
    <w:link w:val="af"/>
    <w:uiPriority w:val="99"/>
    <w:unhideWhenUsed/>
    <w:rsid w:val="008F7CA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7CA4"/>
  </w:style>
  <w:style w:type="paragraph" w:styleId="af0">
    <w:name w:val="footer"/>
    <w:basedOn w:val="a"/>
    <w:link w:val="af1"/>
    <w:uiPriority w:val="99"/>
    <w:unhideWhenUsed/>
    <w:rsid w:val="008F7CA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7CA4"/>
  </w:style>
  <w:style w:type="character" w:styleId="af2">
    <w:name w:val="annotation reference"/>
    <w:basedOn w:val="a0"/>
    <w:uiPriority w:val="99"/>
    <w:semiHidden/>
    <w:unhideWhenUsed/>
    <w:rsid w:val="00D924CE"/>
    <w:rPr>
      <w:sz w:val="16"/>
      <w:szCs w:val="16"/>
    </w:rPr>
  </w:style>
  <w:style w:type="paragraph" w:styleId="af3">
    <w:name w:val="annotation text"/>
    <w:basedOn w:val="a"/>
    <w:link w:val="af4"/>
    <w:uiPriority w:val="99"/>
    <w:semiHidden/>
    <w:unhideWhenUsed/>
    <w:rsid w:val="00D924CE"/>
    <w:pPr>
      <w:spacing w:line="240" w:lineRule="auto"/>
    </w:pPr>
    <w:rPr>
      <w:sz w:val="20"/>
      <w:szCs w:val="20"/>
    </w:rPr>
  </w:style>
  <w:style w:type="character" w:customStyle="1" w:styleId="af4">
    <w:name w:val="Текст примечания Знак"/>
    <w:basedOn w:val="a0"/>
    <w:link w:val="af3"/>
    <w:uiPriority w:val="99"/>
    <w:semiHidden/>
    <w:rsid w:val="00D924CE"/>
    <w:rPr>
      <w:sz w:val="20"/>
      <w:szCs w:val="20"/>
    </w:rPr>
  </w:style>
  <w:style w:type="paragraph" w:styleId="af5">
    <w:name w:val="annotation subject"/>
    <w:basedOn w:val="af3"/>
    <w:next w:val="af3"/>
    <w:link w:val="af6"/>
    <w:uiPriority w:val="99"/>
    <w:semiHidden/>
    <w:unhideWhenUsed/>
    <w:rsid w:val="00D924CE"/>
    <w:rPr>
      <w:b/>
      <w:bCs/>
    </w:rPr>
  </w:style>
  <w:style w:type="character" w:customStyle="1" w:styleId="af6">
    <w:name w:val="Тема примечания Знак"/>
    <w:basedOn w:val="af4"/>
    <w:link w:val="af5"/>
    <w:uiPriority w:val="99"/>
    <w:semiHidden/>
    <w:rsid w:val="00D924CE"/>
    <w:rPr>
      <w:b/>
      <w:bCs/>
      <w:sz w:val="20"/>
      <w:szCs w:val="20"/>
    </w:rPr>
  </w:style>
  <w:style w:type="paragraph" w:styleId="af7">
    <w:name w:val="Revision"/>
    <w:hidden/>
    <w:uiPriority w:val="99"/>
    <w:semiHidden/>
    <w:rsid w:val="000D1021"/>
    <w:pPr>
      <w:spacing w:after="0" w:line="240" w:lineRule="auto"/>
    </w:pPr>
  </w:style>
  <w:style w:type="character" w:customStyle="1" w:styleId="21">
    <w:name w:val="Неразрешенное упоминание2"/>
    <w:basedOn w:val="a0"/>
    <w:uiPriority w:val="99"/>
    <w:semiHidden/>
    <w:unhideWhenUsed/>
    <w:rsid w:val="00B64C74"/>
    <w:rPr>
      <w:color w:val="605E5C"/>
      <w:shd w:val="clear" w:color="auto" w:fill="E1DFDD"/>
    </w:rPr>
  </w:style>
  <w:style w:type="character" w:customStyle="1" w:styleId="20">
    <w:name w:val="Заголовок 2 Знак"/>
    <w:basedOn w:val="a0"/>
    <w:link w:val="2"/>
    <w:uiPriority w:val="9"/>
    <w:semiHidden/>
    <w:rsid w:val="00DC6C24"/>
    <w:rPr>
      <w:rFonts w:asciiTheme="majorHAnsi" w:eastAsiaTheme="majorEastAsia" w:hAnsiTheme="majorHAnsi" w:cstheme="majorBidi"/>
      <w:color w:val="2E74B5" w:themeColor="accent1" w:themeShade="BF"/>
      <w:sz w:val="26"/>
      <w:szCs w:val="26"/>
    </w:rPr>
  </w:style>
  <w:style w:type="character" w:styleId="af8">
    <w:name w:val="Placeholder Text"/>
    <w:basedOn w:val="a0"/>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0"/>
    <w:uiPriority w:val="99"/>
    <w:locked/>
    <w:rsid w:val="001C0D5C"/>
    <w:rPr>
      <w:rFonts w:asciiTheme="majorHAnsi" w:eastAsiaTheme="majorEastAsia" w:hAnsiTheme="majorHAnsi" w:cstheme="majorBidi"/>
      <w:caps/>
      <w:color w:val="5B9BD5"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A3E2-AD7B-46D1-A58C-5794F578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Лебединский ВИ</dc:creator>
  <cp:lastModifiedBy>Экспертный Совет НП СРОО</cp:lastModifiedBy>
  <cp:revision>2</cp:revision>
  <cp:lastPrinted>2019-09-25T10:51:00Z</cp:lastPrinted>
  <dcterms:created xsi:type="dcterms:W3CDTF">2019-09-25T10:52:00Z</dcterms:created>
  <dcterms:modified xsi:type="dcterms:W3CDTF">2019-09-25T10:52:00Z</dcterms:modified>
</cp:coreProperties>
</file>